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蚌埠医学院202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年专升本考试大纲</w:t>
      </w:r>
    </w:p>
    <w:p>
      <w:pPr>
        <w:widowControl/>
        <w:spacing w:line="420" w:lineRule="atLeast"/>
        <w:jc w:val="center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《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CN"/>
        </w:rPr>
        <w:t>》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一、总纲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是为医学高等院校招收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类专业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专升本学生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而设置的，具有选拔性质的全国统一入学考试科目。目的是科学、公平、有效地测试考生是否具有备继续攻读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专业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学士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学位所需要的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药理学知识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。评价的标准是高等医学院校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专业优秀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专科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毕业生能达到的及格或及格以上水平，以利于各高校择优选拔，确保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药学专升本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的招生质量。</w:t>
      </w:r>
    </w:p>
    <w:p>
      <w:pPr>
        <w:widowControl/>
        <w:spacing w:before="100" w:beforeAutospacing="1" w:after="100" w:afterAutospacing="1" w:line="420" w:lineRule="atLeast"/>
        <w:ind w:firstLine="42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考试范围包括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总论、传出神经药理学、中枢神经药理学、作用于内脏器官的药理学（效应器药理学）及激素及化疗药物的药理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学。重点考查基本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理论知识，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并考查学生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运用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所学知识分析和解决实际问题的能力</w:t>
      </w:r>
    </w:p>
    <w:p>
      <w:pPr>
        <w:widowControl/>
        <w:spacing w:before="100" w:beforeAutospacing="1" w:after="100" w:afterAutospacing="1" w:line="420" w:lineRule="atLeast"/>
        <w:ind w:firstLine="42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val="en-US" w:eastAsia="zh-CN"/>
        </w:rPr>
        <w:t>考试形式及参考教材</w:t>
      </w:r>
    </w:p>
    <w:p>
      <w:pPr>
        <w:widowControl/>
        <w:spacing w:before="100" w:beforeAutospacing="1" w:after="100" w:afterAutospacing="1" w:line="420" w:lineRule="atLeast"/>
        <w:ind w:firstLine="56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考试形式：闭卷、笔试。</w:t>
      </w:r>
    </w:p>
    <w:p>
      <w:pPr>
        <w:widowControl/>
        <w:spacing w:before="100" w:beforeAutospacing="1" w:after="100" w:afterAutospacing="1" w:line="420" w:lineRule="atLeast"/>
        <w:ind w:firstLine="56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试卷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分值：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考试题型</w:t>
      </w:r>
      <w:r>
        <w:rPr>
          <w:rFonts w:hint="eastAsia" w:ascii="新宋体" w:hAnsi="新宋体" w:eastAsia="新宋体" w:cs="新宋体"/>
          <w:color w:val="auto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单选题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试卷内容结构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药理学总论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、传出神经药理学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、中枢神经药理学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效应器药理学25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、激素及化疗药理学30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%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default" w:ascii="新宋体" w:hAnsi="新宋体" w:eastAsia="宋体" w:cs="新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参考教材：《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药理学》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（第三版），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罗跃娥主编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人民卫生出版社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val="en-US" w:eastAsia="zh-CN"/>
        </w:rPr>
        <w:t>2018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考查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范围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与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要求</w:t>
      </w:r>
    </w:p>
    <w:p>
      <w:pPr>
        <w:widowControl/>
        <w:spacing w:line="360" w:lineRule="auto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　　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(一) 药理学总论—绪言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药物及药理学的概念。药理学研究的主要内容：药动学和药效学。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（二） 药物代谢动力学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药物的体内过程  吸收：吸收方式：口服、吸入、局部用药、舌下给药、注射给药等；影响吸收的因素：药物理化性质及制剂特点、给药途径、药物解离度和体液pH、首关消除等。分布：影响分布的因素：血浆蛋白结合率、器官血流量、组织细胞结合、药物解离度和体液pH、体内屏障。代谢：代谢步骤Ⅰ(氧化、还原、水解)及Ⅱ（结合）；药物代谢酶：肝药酶及肝药酶诱导与抑制。排泄：肾脏排泄、胆汁排泄等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药动学的定量规律  体内药物的时量关系：时-量曲线、时-效曲线。药动学重要参数：生物利用度和消除半衰期。药物消除动力学：一级消除动力学和零级消除动力学及其特点。连续多次给药的稳态血药浓度；药物剂量的设计和优化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（三） 药物效应动力学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药物基本作用  药物作用与药理效应。兴奋、抑制、选择性及特异性概念。治疗效果：对因治疗和对症治疗。药物不良反应：副作用、毒性作用、后遗效应、停药反应、变态效应及特异质反应。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药物剂量与效应关系  量反应量效曲线：效价强度及效能概念；质反应量效曲线：半数致死量、半数有效量、治疗指数；量效曲线意义：评价药效及药物安全性。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受体与药物的相互作用：亲和力和内在活性概念。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作用于受体的药物分类  激动剂：完全激动剂、部分激动剂；拮抗剂：竞争性拮抗剂、非竞争性拮抗剂。受体调节：受体脱敏与增敏、上调与下调。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（四） 影响药物效应的因素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药物因素  药物制剂和给药途径；药物相互作用。机体因素  年龄、性别、遗传因素、特异质反应、疾病状态、心理因素--安慰剂效应。长期用药引起的机体反应性变化：耐受性和耐药性；依赖性：精神依赖(习惯性)，躯体依赖 (成瘾性)。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  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 传出神经系统药理概论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传出神经系统分类。乙酰胆碱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及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去甲肾上腺素的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消除方式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。传出神经系统受体：胆碱受体分类、分布及兴奋时生理效应；肾上腺素受体分类、分布及兴奋时的生理效应。传出神经系统的生理功能。传出神经系统药物基本作用及分类。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（六）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拟胆碱药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胆碱受体激动药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毛果芸香碱的作用：眼：缩瞳、降低眼内压和调节痉挛；腺体：汗腺、唾液腺分泌↑。临床应用：青光眼、虹膜睫状体炎、解救阿托品中毒。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抗胆碱酯酶药和胆碱酯酶复活药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易逆性抗胆碱酯酶药：新斯的明的药理作用、作用机制、临床应用和不良反应，禁忌症；毒扁豆碱作用特点和应用。难逆性抗胆碱酯酶药：有机磷酸酯类中毒机制、中毒症状及急性中毒的解救。胆碱酯酶复活药碘解磷定、氯解磷定作用及机制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（七）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胆碱受体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拮抗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M胆碱受体阻断药  阿托品的作用机制：阻断M-R；大剂量阻断NN-R。 药理作用：腺体：抑制腺体分泌；眼：扩瞳、升高眼内压、调节麻痹；平滑肌：松弛平滑肌；心血管：HR↑，血管扩张；CNS：先兴奋后抑制。临床应用：缓解内脏绞痛；麻醉前给药，盗汗，流涎；虹膜睫状体炎，扩瞳检查眼底，验光配眼镜；缓慢型心律失常；抗休克；解救有机磷中毒。禁忌症：青光眼、前列腺肥大等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N胆碱受体阻断药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骨骼肌松弛药分类：除极化型、非除极化型。除极化型肌松药：琥珀胆碱作用机制、作用特点、临床应用、不良反应及应用注意。非除极化型肌松药：筒箭毒碱作用机制、作用特点及临床应用。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）肾上腺素受体激动药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肾上腺素受体激动药的分类及代表药物。α肾上腺素受体激动药：去甲肾上腺素的药理作用、临床应用、不良反应及防治；间羟胺、去氧肾上腺素、甲氧明作用特点及临床应用。α、β肾上腺素受体激动药：肾上腺素的药理作用、临床应用、不良反应及禁忌症；多巴胺药理作用、临床应用；异丙肾上腺素药理作用、临床应用及不良反应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 xml:space="preserve">   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 肾上腺素受体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拮抗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α肾上腺素受体阻断药非选择性α受体阻断药：酚妥拉明药理作用、临床应用及不良反应。β肾上腺素受体阻断药普萘洛尔药理作用、临床应用、不良反应及禁忌症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（十）镇静催眠药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镇静催眠药的概念、分类。苯二氮卓类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地西泮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体内过程、药理作用、作用机制、临床应用及不良反应；巴比妥类的药理作用、临床应用及不良反应。水合氯醛作用特点及应用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）抗癫痫药和抗惊厥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苯妥英钠：体内过程、药理作用、作用机制、临床应用、不良反应及；药物的相互作用。卡马西平、苯巴比妥、乙琥胺、丙戊酸钠、地西泮抗癫痫作用特点和应用。抗癫痫药应用注意事项。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抗惊厥药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硫酸镁的药理作用、临床应用及不良反应。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）治疗中枢神经系统退性疾病药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抗帕金森病药的分类。左旋多巴药动学特点及联合用药、药理作用、临床应用及不良反应。卡比多巴的作用特点及临床应用。苯海索作用特点、临床应用及不良反应。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）抗精神失常药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抗精神失常药的分类。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氯丙嗪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体内过程、药理作用及机制、临床应用、不良反应、药物相互作用及禁忌症。碳酸锂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药理作用、临床应用及不良反应。米帕明(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丙咪嗪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)的药理作用、临床应用、不良反应。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）镇痛药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镇痛药的分类。吗啡的体内过程、药理作用及作用机制、临床应用、不良反应及禁忌证。可待因的作用特点及临床应用。哌替啶的药理作用、临床应用、不良反应及禁忌证。阿片受体拮抗剂纳洛酮药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理作用特点及临床应用。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）解热镇痛抗炎药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解热镇痛抗炎药共同药理作用。阿司匹林的药理作用、临床用途、不良反应及禁忌征、药物的相互作用。对乙酰氨基酚药理作用特点、临床应用、不良反应及应用注意。保泰松的药理作用特点及临床应用、不良反应及药物相互作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）抗高血压药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高血压药物分类。利尿药降压机制；氢氯噻嗪、呋塞米降压特点及临床应用。钙通道阻滞药降压机制；硝苯地平药理作用、临床应用；尼群地平、氨氯地平等作用特点及应用。β受体阻断药普萘洛尔降压机制、降压特点及临床应用。ACE抑制药卡托普利降压机制、降压特点及临床应用。AT1受体阻断剂氯沙坦降压机制、降压特点及临床应用。中枢性降压药可乐定、血管平滑肌扩张药硝普钠、α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-R阻断药等哌唑嗪的降压机制及特点、临床应用及不良反应。新型降压药的作用特点。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抗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高血压药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合理应用原则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）抗心绞痛药与抗动脉粥样硬化药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抗心绞痛药物基本作用及分类。硝酸甘油体内过程、药理作用及机制、临床用途、不良反应及注意事项。普萘洛尔抗心绞痛作用、临床应用及禁忌证。硝苯地平抗心绞痛作用及机制、临床应用。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）抗心律失常药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抗心律失常药的基本作用机制及分类。奎尼丁、普鲁卡因胺、利多卡因(lidocaine)、苯妥英钠、普萘洛尔、胺碘酮、维拉帕米的药理作用、临床应用及不良反应。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十九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抗慢性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功能不全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抗慢性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心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功能不全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药物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分类。肾素-血管紧张素-醛固酮系统抑制药：ACE抑制药治疗CHF的作用机制及临床应用；AT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受体阻断剂作用机制、作用特点及临床应用；抗醛固酮药的作用特点。利尿药治疗CHF的作用机制及临床选药。β受体阻断药治疗CHF的作用机制、临床应用及注意事项。强心苷类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地高辛、洋地黄毒苷、西地兰、毒毛花苷K的药动学特点；药理作用及机制、临床应用、不良反应及防治；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（二十）利尿药及脱水药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利尿药的分类；高效利尿药呋塞米的体内过程、药理作用、临床应用及不良反应。中效利尿药氢氯噻嗪的体内过程、药理作用及机制、临床应用及不良反应。保利尿药螺内酯药理作用及机制、临床应用及不良反应。氨苯蝶啶、阿米洛利药理作用及机制、临床应用及不良反应。碳酸酐酶抑制药乙酰唑胺的药理作用及机制、临床应用途不良反应。渗透性利尿药甘露醇的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组胺药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抗组胺药的药理作用及临床应用。H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受体阻断药分类、药理作用及机制、临床应用及不良反应。H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受体阻断药西米替丁、雷尼替丁等药理作用及临床应用。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）作用于呼吸系统的药物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平喘药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糖皮质激素类药理作用及机制、临床应用及不良反应。肾上腺素受体激动药肾上腺素、沙丁胺醇等药理作用及机制、临床应用及不良反应。氨茶碱药理作用及机制、临床应用及不良反应。M受体阻断药异丙托溴铵、肥大细胞膜稳定药色甘酸钠等作用特点及临床应用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镇咳药的分类；可待因、右美沙芬、喷托维林作用特点及应用。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祛痰药的分类；氯化铵、乙酰半胱氨酸、溴己新作用特点及应用。 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281" w:firstLineChars="1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）作用于消化系统的药物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抗消化性溃疡药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分类；抗酸药氢氧化铝等作用特点及应用；H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bscript"/>
          <w:lang w:eastAsia="zh-Hans"/>
        </w:rPr>
        <w:t>2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受体阻断药西米替丁等药理作用及临床应用；胃壁细胞H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vertAlign w:val="superscript"/>
          <w:lang w:eastAsia="zh-Hans"/>
        </w:rPr>
        <w:t>+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泵抑制药奥美拉唑等等药理作用及临床应用；M受体阻断药哌仑西平、胃泌素受体阻断药丙谷胺等药理作用及临床应用；胃粘膜保护药硫糖铝、枸橼酸铋钾药理作用及临床应用；抗幽门螺旋菌药的作用特点及临床应用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助消化药 止吐药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分类；苯海拉明、甲氧氯胺普、多潘立酮、昂丹司琼的药理作用及临床应用。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281" w:firstLineChars="1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（二十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）作用于血液及造血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系统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的药物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肝素药理作用及机制、临床应用、不良反应及禁忌症、药物相互作用；低分子量肝素作用特点及应用。香豆素类华法林药理作用及机制、临床应用、不良反应、药物相互作用。纤维蛋白溶解药链激酶、尿激酶药理作用、临床应用及不良反应。组织纤溶酶原激活因子药理作用及临床应用。氨甲苯酸)药理作用及临床应用。抗血小板药阿司匹林等药理作用及临床应用。促凝血药维生素K、凝血酶的药理作用及临床应用。抗贫血药铁剂、叶酸、维生素B12等药理作用、临床应用及不良反应。右旋糖酐药理作用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生殖功能调节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 子宫平滑肌兴奋药 缩宫素的药理作用及机制、临床应用、不良反应及注意事项。麦角新碱的药理作用及临床应用、不良反应及注意事项。垂体后叶素、前列腺素的作用特点及临床应用。子宫平滑肌抑制药的药理作用及临床应用。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）肾上腺皮质激素类药物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肾上腺皮质激素类药物分类、构效关系。糖皮质激素的分类（短效、中效、长效）、体内过程、药理作用及机制、临床应用、不良反应及注意事项、禁忌症、用法与疗程。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二十七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）甲状腺激素及抗甲状腺药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甲状腺激素的合成、储存、分泌与调节。甲状腺激素的药理作用及机制、临床应用及不良反应。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抗甲状腺药物分类。硫脲类药物分类、药理作用及机制、临床应用、不良反应及注意事项、药物相互作用。碘及碘化物的药理作用、临床应用及不良反应。普萘洛尔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 xml:space="preserve">药理作用、临床应用及不良反应。放射性碘的药理作用、临床应用及不良反应。 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二十八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）胰岛素及口服降血糖药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胰岛素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体内过程、药理作用、作用机制、临床应用及不良反应。口服降血糖药分类；磺酰脲类的药理作用及作用机制、临床应用、不良反应、药物相互作用；双胍类药物作用特点及临床应用；胰岛素增敏药作用及机制、临床应用及不良反应；α-葡萄糖苷酶抑制剂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二十九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）抗菌药物概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述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化学治疗学概念；机体、病原体与药物三者之间的关系。抗菌药物的常用术语：抗菌谱、抑菌药、杀菌药、最低抑菌浓度、最低杀菌浓度、化疗指数 、抗菌药的作用机制：抑制细菌细胞壁合成、改变胞质膜通透性、抑制蛋白质合成、影响核酸和叶酸代谢。细菌耐药性概念、耐药性产生机理及控制细菌耐药的措施。抗菌药的合理应用原则。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（三十）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抗生素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sym w:font="Symbol" w:char="F062"/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-内酰胺类抗生素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sym w:font="Symbol" w:char="F062"/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-内酰胺抗生素分类、抗菌作用机制和耐药机制。青霉素G体内过程、抗菌作用及临床用途、不良反应及防治、药物相互作用。半合成青霉素分类及代表药、各类作用特点及临床应用。头孢菌素的共性；各代头孢菌素的特点及用途。其他β-内酰胺类抗生素作用特点及临床应用。β-内酰胺酶抑制药作用及其复方制剂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大环内酯类、林可霉素及其他类抗生素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大环内酯类抗生素分类、抗菌作用及机制、耐药机制、药代动力学。红霉素常用剂型、抗菌作用、临床应用及不良反应。克拉霉素、阿奇霉素抗菌特点及临床应用。林可霉素类抗生素抗菌作用及机制、临床应用及不良反应。万古霉素的抗菌作用及机制、抗菌特点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氨基糖苷类抗生素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氨基糖苷类抗生素 主要药物、抗菌作用和机制、耐药机制、体内过程、临床应用及不良反应；常用的氨基糖苷类抗生素链霉素、庆大霉素、阿米卡星、妥布霉素、卡那霉素抗菌作用特点及临床应用。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四环素类及氯霉素类抗生素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四环素类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药物的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；四环素类抗菌作用特点、作用机制、耐药性、临床应用；四环素抗菌特点、体内过程、临床应用、不良反应及禁忌证；多烯环素、米诺环素抗菌特点及临床应用。氯霉素类抗菌特点、作用机制及耐药性、体内过程、临床应用及不良反应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）人工合成抗菌药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氟喹诺酮类抗菌药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抗菌作用、作用机制、耐药性、体内过程、临床应用、不良反应、禁忌症及药物相互作用。诺氟沙星、左氧氟沙星、环丙沙星等药物作用特点及临床应用。磺胺药分类、抗菌谱、作用机理、耐药性、体内过程、临床应用、不良反应及禁忌症。磺胺嘧啶、磺胺甲恶唑、磺胺嘧啶银等药物抗菌特点及临床应用。甲氧苄啶的抗菌作用原理、抗菌增效作用及应用。甲硝唑抗菌作用特点及临床应用。</w:t>
      </w:r>
    </w:p>
    <w:p>
      <w:pPr>
        <w:spacing w:line="360" w:lineRule="auto"/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（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  <w:t>三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）抗结核药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抗结核病药物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分类：一线抗结核药和二线抗结核药。异烟肼、利福平抗菌作用及机制、体内过程、临床应用、不良反应、药物相互作用。乙胺丁醇、链霉素、吡嗪酰胺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抗结核作用、临床应用及主要不良反应。对氨基水杨酸等作用特点及临床应用。结核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</w:rPr>
        <w:t>的药物治疗</w:t>
      </w: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原则。</w:t>
      </w:r>
    </w:p>
    <w:p>
      <w:pP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</w:pPr>
    </w:p>
    <w:p>
      <w:pPr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5D"/>
    <w:rsid w:val="0019585D"/>
    <w:rsid w:val="005A66C7"/>
    <w:rsid w:val="009361AB"/>
    <w:rsid w:val="009C6CE0"/>
    <w:rsid w:val="00AD7B39"/>
    <w:rsid w:val="00B15C41"/>
    <w:rsid w:val="00C57D0C"/>
    <w:rsid w:val="029D68F7"/>
    <w:rsid w:val="08265589"/>
    <w:rsid w:val="09547A03"/>
    <w:rsid w:val="0B0F4C1E"/>
    <w:rsid w:val="13731906"/>
    <w:rsid w:val="180448D7"/>
    <w:rsid w:val="1FDD404A"/>
    <w:rsid w:val="2643204B"/>
    <w:rsid w:val="2A227305"/>
    <w:rsid w:val="2B1E6A6F"/>
    <w:rsid w:val="2C7D15CA"/>
    <w:rsid w:val="2FFD3AC4"/>
    <w:rsid w:val="30482A93"/>
    <w:rsid w:val="31442265"/>
    <w:rsid w:val="3DBE6E14"/>
    <w:rsid w:val="41B361EE"/>
    <w:rsid w:val="439E000C"/>
    <w:rsid w:val="4DA7409C"/>
    <w:rsid w:val="507A4FC9"/>
    <w:rsid w:val="52C1644E"/>
    <w:rsid w:val="55DD21A7"/>
    <w:rsid w:val="5C0C1C9B"/>
    <w:rsid w:val="67DD5B0A"/>
    <w:rsid w:val="68396EDE"/>
    <w:rsid w:val="6C015109"/>
    <w:rsid w:val="6F061BB6"/>
    <w:rsid w:val="7309629A"/>
    <w:rsid w:val="74884E17"/>
    <w:rsid w:val="76401E37"/>
    <w:rsid w:val="770A355F"/>
    <w:rsid w:val="778F4EEE"/>
    <w:rsid w:val="7D85300D"/>
    <w:rsid w:val="7D9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  <w:rPr>
      <w:i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ascii="Courier New" w:hAnsi="Courier New" w:cs="Courier New"/>
      <w:sz w:val="20"/>
    </w:rPr>
  </w:style>
  <w:style w:type="character" w:styleId="16">
    <w:name w:val="HTML Cite"/>
    <w:basedOn w:val="7"/>
    <w:semiHidden/>
    <w:unhideWhenUsed/>
    <w:qFormat/>
    <w:uiPriority w:val="99"/>
  </w:style>
  <w:style w:type="character" w:customStyle="1" w:styleId="17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irst"/>
    <w:basedOn w:val="7"/>
    <w:qFormat/>
    <w:uiPriority w:val="0"/>
  </w:style>
  <w:style w:type="character" w:customStyle="1" w:styleId="20">
    <w:name w:val="next"/>
    <w:basedOn w:val="7"/>
    <w:qFormat/>
    <w:uiPriority w:val="0"/>
  </w:style>
  <w:style w:type="character" w:customStyle="1" w:styleId="21">
    <w:name w:val="last1"/>
    <w:basedOn w:val="7"/>
    <w:qFormat/>
    <w:uiPriority w:val="0"/>
  </w:style>
  <w:style w:type="character" w:customStyle="1" w:styleId="22">
    <w:name w:val="previous1"/>
    <w:basedOn w:val="7"/>
    <w:qFormat/>
    <w:uiPriority w:val="0"/>
  </w:style>
  <w:style w:type="character" w:customStyle="1" w:styleId="23">
    <w:name w:val="first1"/>
    <w:basedOn w:val="7"/>
    <w:qFormat/>
    <w:uiPriority w:val="0"/>
  </w:style>
  <w:style w:type="character" w:customStyle="1" w:styleId="24">
    <w:name w:val="previous"/>
    <w:basedOn w:val="7"/>
    <w:qFormat/>
    <w:uiPriority w:val="0"/>
  </w:style>
  <w:style w:type="character" w:customStyle="1" w:styleId="25">
    <w:name w:val="las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888</Words>
  <Characters>5062</Characters>
  <Lines>42</Lines>
  <Paragraphs>11</Paragraphs>
  <TotalTime>0</TotalTime>
  <ScaleCrop>false</ScaleCrop>
  <LinksUpToDate>false</LinksUpToDate>
  <CharactersWithSpaces>5939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2020-04-12T00:42:00Z</dcterms:created>
  <dc:creator>DELL</dc:creator>
  <cp:lastModifiedBy>浅草蝶</cp:lastModifiedBy>
  <dcterms:modified xsi:type="dcterms:W3CDTF">2021-03-18T06:14:33Z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C511082460B443F7B0299EB2774C50F7</vt:lpwstr>
  </property>
</Properties>
</file>