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浙江省专升本各类别所含专业对照表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（2022版）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050209朝鲜语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630805跨境电子商务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660102网络新闻与传播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1055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50DF"/>
    <w:rsid w:val="13BB1D68"/>
    <w:rsid w:val="1D36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2021-12-27T08:53:00Z</dcterms:created>
  <dc:creator>浙江省辐射环境监测站</dc:creator>
  <cp:lastModifiedBy>浙江省辐射环境监测站</cp:lastModifiedBy>
  <dcterms:modified xsi:type="dcterms:W3CDTF">2021-12-27T09:02:07Z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2FD7E027B9744EE2AC33BB4DDE3A2B72</vt:lpwstr>
  </property>
</Properties>
</file>