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jc w:val="center"/>
        <w:textAlignment w:val="auto"/>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肇庆学院</w:t>
      </w:r>
      <w:r>
        <w:rPr>
          <w:rFonts w:hint="eastAsia" w:ascii="方正小标宋简体" w:hAnsi="华文中宋" w:eastAsia="方正小标宋简体" w:cs="Times New Roman"/>
          <w:sz w:val="44"/>
          <w:szCs w:val="44"/>
        </w:rPr>
        <w:t>20</w:t>
      </w:r>
      <w:r>
        <w:rPr>
          <w:rFonts w:hint="eastAsia" w:ascii="方正小标宋简体" w:hAnsi="华文中宋" w:eastAsia="方正小标宋简体" w:cs="Times New Roman"/>
          <w:sz w:val="44"/>
          <w:szCs w:val="44"/>
          <w:lang w:val="en-US" w:eastAsia="zh-CN"/>
        </w:rPr>
        <w:t>22年普通专升本招</w:t>
      </w:r>
      <w:r>
        <w:rPr>
          <w:rFonts w:hint="eastAsia" w:ascii="方正小标宋简体" w:hAnsi="华文中宋" w:eastAsia="方正小标宋简体" w:cs="Times New Roman"/>
          <w:sz w:val="44"/>
          <w:szCs w:val="44"/>
        </w:rPr>
        <w:t>生简章</w:t>
      </w:r>
    </w:p>
    <w:p>
      <w:pPr>
        <w:pageBreakBefore w:val="0"/>
        <w:kinsoku/>
        <w:wordWrap/>
        <w:overflowPunct/>
        <w:topLinePunct w:val="0"/>
        <w:autoSpaceDE/>
        <w:autoSpaceDN/>
        <w:bidi w:val="0"/>
        <w:spacing w:line="500" w:lineRule="exact"/>
        <w:ind w:firstLine="880" w:firstLineChars="200"/>
        <w:jc w:val="center"/>
        <w:textAlignment w:val="auto"/>
        <w:rPr>
          <w:rStyle w:val="12"/>
          <w:rFonts w:hint="eastAsia" w:ascii="方正小标宋简体" w:hAnsi="黑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为贯彻落实</w:t>
      </w:r>
      <w:r>
        <w:rPr>
          <w:rFonts w:hint="eastAsia" w:ascii="仿宋_GB2312" w:hAnsi="仿宋_GB2312" w:eastAsia="仿宋_GB2312" w:cs="仿宋_GB2312"/>
          <w:sz w:val="32"/>
          <w:szCs w:val="32"/>
        </w:rPr>
        <w:t>《教育部办公厅关于做好2022年普通高等学校专升本考试招生工作的通知》（教学厅〔2021〕8号）</w:t>
      </w:r>
      <w:r>
        <w:rPr>
          <w:rFonts w:hint="eastAsia" w:ascii="仿宋_GB2312" w:hAnsi="仿宋" w:eastAsia="仿宋_GB2312" w:cs="Times New Roman"/>
          <w:color w:val="auto"/>
          <w:sz w:val="32"/>
          <w:szCs w:val="32"/>
          <w:lang w:eastAsia="zh-CN"/>
        </w:rPr>
        <w:t>、</w:t>
      </w:r>
      <w:r>
        <w:rPr>
          <w:rFonts w:hint="eastAsia" w:ascii="仿宋_GB2312" w:hAnsi="仿宋" w:eastAsia="仿宋_GB2312"/>
          <w:color w:val="000000"/>
          <w:sz w:val="32"/>
          <w:szCs w:val="32"/>
        </w:rPr>
        <w:t>《广东省2022年普通高等学校专升本招生工作规定》〔2021〕33号</w:t>
      </w:r>
      <w:r>
        <w:rPr>
          <w:rFonts w:hint="eastAsia" w:ascii="仿宋_GB2312" w:hAnsi="仿宋" w:eastAsia="仿宋_GB2312"/>
          <w:color w:val="000000"/>
          <w:sz w:val="32"/>
          <w:szCs w:val="32"/>
          <w:lang w:val="en-US" w:eastAsia="zh-CN"/>
        </w:rPr>
        <w:t>等</w:t>
      </w:r>
      <w:r>
        <w:rPr>
          <w:rFonts w:hint="eastAsia" w:ascii="仿宋_GB2312" w:hAnsi="仿宋" w:eastAsia="仿宋_GB2312" w:cs="Times New Roman"/>
          <w:color w:val="auto"/>
          <w:sz w:val="32"/>
          <w:szCs w:val="32"/>
          <w:lang w:val="en-US" w:eastAsia="zh-CN"/>
        </w:rPr>
        <w:t>文件</w:t>
      </w:r>
      <w:r>
        <w:rPr>
          <w:rFonts w:hint="eastAsia" w:ascii="仿宋_GB2312" w:hAnsi="仿宋" w:eastAsia="仿宋_GB2312" w:cs="Times New Roman"/>
          <w:color w:val="auto"/>
          <w:sz w:val="32"/>
          <w:szCs w:val="32"/>
        </w:rPr>
        <w:t>精神，特制定我</w:t>
      </w:r>
      <w:r>
        <w:rPr>
          <w:rFonts w:hint="eastAsia" w:ascii="仿宋_GB2312" w:hAnsi="仿宋" w:eastAsia="仿宋_GB2312" w:cs="Times New Roman"/>
          <w:color w:val="auto"/>
          <w:sz w:val="32"/>
          <w:szCs w:val="32"/>
          <w:lang w:eastAsia="zh-CN"/>
        </w:rPr>
        <w:t>校</w:t>
      </w:r>
      <w:r>
        <w:rPr>
          <w:rFonts w:hint="eastAsia"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年普通专升本招生</w:t>
      </w:r>
      <w:r>
        <w:rPr>
          <w:rFonts w:hint="eastAsia" w:ascii="仿宋_GB2312" w:hAnsi="仿宋" w:eastAsia="仿宋_GB2312" w:cs="Times New Roman"/>
          <w:color w:val="auto"/>
          <w:sz w:val="32"/>
          <w:szCs w:val="32"/>
          <w:lang w:eastAsia="zh-CN"/>
        </w:rPr>
        <w:t>简章</w:t>
      </w:r>
      <w:r>
        <w:rPr>
          <w:rFonts w:hint="eastAsia" w:ascii="仿宋_GB2312" w:hAnsi="仿宋" w:eastAsia="仿宋_GB2312" w:cs="Times New Roman"/>
          <w:color w:val="auto"/>
          <w:sz w:val="32"/>
          <w:szCs w:val="32"/>
        </w:rPr>
        <w:t>。</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一、招生对象及报考条件</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华文中宋" w:eastAsia="楷体_GB2312" w:cs="Times New Roman"/>
          <w:sz w:val="32"/>
          <w:szCs w:val="32"/>
        </w:rPr>
      </w:pPr>
      <w:r>
        <w:rPr>
          <w:rFonts w:hint="eastAsia" w:ascii="楷体_GB2312" w:hAnsi="华文中宋" w:eastAsia="楷体_GB2312" w:cs="Times New Roman"/>
          <w:sz w:val="32"/>
          <w:szCs w:val="32"/>
        </w:rPr>
        <w:t>（一）招生对象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olor w:val="000000"/>
          <w:sz w:val="32"/>
          <w:szCs w:val="32"/>
        </w:rPr>
        <w:t>遵守中华人民共和国宪法和法律，</w:t>
      </w:r>
      <w:r>
        <w:rPr>
          <w:rFonts w:hint="eastAsia" w:ascii="仿宋_GB2312" w:hAnsi="仿宋" w:eastAsia="仿宋_GB2312" w:cs="Times New Roman"/>
          <w:color w:val="auto"/>
          <w:sz w:val="32"/>
          <w:szCs w:val="32"/>
        </w:rPr>
        <w:t>身体健康状况符合普通高校招生的体检要求，并符合下列条件之一的人员可以报考：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具有广东省户籍的普通高校应、往届专科毕业生。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rPr>
      </w:pPr>
      <w:r>
        <w:rPr>
          <w:rFonts w:hint="eastAsia" w:ascii="仿宋_GB2312" w:hAnsi="仿宋" w:eastAsia="仿宋_GB2312" w:cs="Times New Roman"/>
          <w:color w:val="auto"/>
          <w:sz w:val="32"/>
          <w:szCs w:val="32"/>
        </w:rPr>
        <w:t>2</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s="Times New Roman"/>
          <w:color w:val="auto"/>
          <w:sz w:val="32"/>
          <w:szCs w:val="32"/>
        </w:rPr>
        <w:t>具有广东省户籍，在报名确认截止日期前取得国家承认学历的专科毕业生（含成人教育、自学考试</w:t>
      </w:r>
      <w:r>
        <w:rPr>
          <w:rFonts w:hint="eastAsia" w:ascii="仿宋_GB2312" w:hAnsi="仿宋" w:eastAsia="仿宋_GB2312" w:cs="Times New Roman"/>
          <w:color w:val="auto"/>
          <w:sz w:val="32"/>
          <w:szCs w:val="32"/>
          <w:lang w:val="en-US" w:eastAsia="zh-CN"/>
        </w:rPr>
        <w:t>和</w:t>
      </w:r>
      <w:r>
        <w:rPr>
          <w:rFonts w:hint="eastAsia" w:ascii="仿宋_GB2312" w:hAnsi="仿宋" w:eastAsia="仿宋_GB2312" w:cs="Times New Roman"/>
          <w:color w:val="auto"/>
          <w:sz w:val="32"/>
          <w:szCs w:val="32"/>
        </w:rPr>
        <w:t>网</w:t>
      </w:r>
      <w:r>
        <w:rPr>
          <w:rFonts w:hint="eastAsia" w:ascii="仿宋_GB2312" w:hAnsi="仿宋" w:eastAsia="仿宋_GB2312" w:cs="Times New Roman"/>
          <w:b w:val="0"/>
          <w:bCs w:val="0"/>
          <w:color w:val="auto"/>
          <w:sz w:val="32"/>
          <w:szCs w:val="32"/>
        </w:rPr>
        <w:t>络教育，毕业证书落款日期在</w:t>
      </w:r>
      <w:r>
        <w:rPr>
          <w:rFonts w:hint="eastAsia" w:ascii="仿宋_GB2312" w:hAnsi="仿宋" w:eastAsia="仿宋_GB2312"/>
          <w:b w:val="0"/>
          <w:bCs w:val="0"/>
          <w:color w:val="000000"/>
          <w:sz w:val="32"/>
          <w:szCs w:val="32"/>
        </w:rPr>
        <w:t>2022年1月24日</w:t>
      </w:r>
      <w:r>
        <w:rPr>
          <w:rFonts w:hint="eastAsia" w:ascii="仿宋_GB2312" w:hAnsi="仿宋" w:eastAsia="仿宋_GB2312" w:cs="Times New Roman"/>
          <w:b w:val="0"/>
          <w:bCs w:val="0"/>
          <w:color w:val="auto"/>
          <w:sz w:val="32"/>
          <w:szCs w:val="32"/>
        </w:rPr>
        <w:t>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3</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s="Times New Roman"/>
          <w:color w:val="auto"/>
          <w:sz w:val="32"/>
          <w:szCs w:val="32"/>
        </w:rPr>
        <w:t>非广东省户籍，就读广东省普通高校的应届及在择业期内（毕业两年内，下同）的往届专科毕业生。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4</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s="Times New Roman"/>
          <w:color w:val="auto"/>
          <w:sz w:val="32"/>
          <w:szCs w:val="32"/>
        </w:rPr>
        <w:t>非广东省户籍，在广东省参加普通高考被外省普通高校录取并就读的应届及在择业期内的往届专科毕业生。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5.建档立卡</w:t>
      </w:r>
      <w:r>
        <w:rPr>
          <w:rFonts w:hint="eastAsia" w:ascii="仿宋_GB2312" w:hAnsi="仿宋" w:eastAsia="仿宋_GB2312" w:cs="Times New Roman"/>
          <w:color w:val="auto"/>
          <w:sz w:val="32"/>
          <w:szCs w:val="32"/>
          <w:lang w:eastAsia="zh-CN"/>
        </w:rPr>
        <w:t>考生</w:t>
      </w:r>
      <w:r>
        <w:rPr>
          <w:rFonts w:hint="eastAsia" w:ascii="仿宋_GB2312" w:hAnsi="仿宋" w:eastAsia="仿宋_GB2312" w:cs="Times New Roman"/>
          <w:color w:val="auto"/>
          <w:sz w:val="32"/>
          <w:szCs w:val="32"/>
        </w:rPr>
        <w:t>，</w:t>
      </w:r>
      <w:r>
        <w:rPr>
          <w:rFonts w:hint="eastAsia" w:ascii="仿宋_GB2312" w:hAnsi="仿宋" w:eastAsia="仿宋_GB2312" w:cs="Times New Roman"/>
          <w:color w:val="auto"/>
          <w:sz w:val="32"/>
          <w:szCs w:val="32"/>
          <w:lang w:eastAsia="zh-CN"/>
        </w:rPr>
        <w:t>符合</w:t>
      </w:r>
      <w:r>
        <w:rPr>
          <w:rFonts w:hint="eastAsia" w:ascii="仿宋_GB2312" w:hAnsi="仿宋" w:eastAsia="仿宋_GB2312" w:cs="Times New Roman"/>
          <w:color w:val="auto"/>
          <w:sz w:val="32"/>
          <w:szCs w:val="32"/>
        </w:rPr>
        <w:t>上述相应报考条件的</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必须为</w:t>
      </w:r>
      <w:r>
        <w:rPr>
          <w:rFonts w:hint="eastAsia" w:ascii="仿宋_GB2312" w:hAnsi="仿宋" w:eastAsia="仿宋_GB2312"/>
          <w:color w:val="000000"/>
          <w:sz w:val="32"/>
          <w:szCs w:val="32"/>
        </w:rPr>
        <w:t>原省级以上扶贫管理部门登记在册人员</w:t>
      </w:r>
      <w:r>
        <w:rPr>
          <w:rFonts w:hint="eastAsia" w:ascii="仿宋_GB2312" w:hAnsi="仿宋" w:eastAsia="仿宋_GB2312" w:cs="Times New Roman"/>
          <w:color w:val="auto"/>
          <w:sz w:val="32"/>
          <w:szCs w:val="32"/>
        </w:rPr>
        <w:t>。广东省户籍的建档立卡贫困家庭考生为广东省扶贫开发办公室登记在册，有建档立卡资料的考生（以广东省扶贫开发办公室提供的数据为准http://210.76.68.130:8080/fpy/a/index.do）；外省户籍建档立卡的考生，原则上应为国家层面建档立卡贫困家庭考生</w:t>
      </w:r>
      <w:r>
        <w:rPr>
          <w:rFonts w:hint="eastAsia" w:ascii="仿宋_GB2312" w:hAnsi="仿宋" w:eastAsia="仿宋_GB2312"/>
          <w:color w:val="000000"/>
          <w:sz w:val="32"/>
          <w:szCs w:val="32"/>
        </w:rPr>
        <w:t>（需提供全国扶贫开发管理系统本人信息页截图并盖当地管理机构公章）</w:t>
      </w:r>
      <w:r>
        <w:rPr>
          <w:rFonts w:hint="eastAsia" w:ascii="仿宋_GB2312" w:hAnsi="仿宋" w:eastAsia="仿宋_GB2312" w:cs="Times New Roman"/>
          <w:color w:val="auto"/>
          <w:sz w:val="32"/>
          <w:szCs w:val="32"/>
        </w:rPr>
        <w:t>。</w:t>
      </w:r>
    </w:p>
    <w:p>
      <w:pPr>
        <w:spacing w:line="560" w:lineRule="exact"/>
        <w:ind w:firstLine="640"/>
        <w:rPr>
          <w:rFonts w:hint="eastAsia" w:ascii="仿宋_GB2312" w:hAnsi="仿宋" w:eastAsia="仿宋_GB2312"/>
          <w:b/>
          <w:bCs/>
          <w:color w:val="auto"/>
          <w:sz w:val="32"/>
          <w:szCs w:val="32"/>
        </w:rPr>
      </w:pPr>
      <w:r>
        <w:rPr>
          <w:rFonts w:hint="eastAsia" w:ascii="仿宋_GB2312" w:hAnsi="仿宋" w:eastAsia="仿宋_GB2312" w:cs="Times New Roman"/>
          <w:color w:val="auto"/>
          <w:sz w:val="32"/>
          <w:szCs w:val="32"/>
          <w:lang w:val="en-US" w:eastAsia="zh-CN"/>
        </w:rPr>
        <w:t>6.</w:t>
      </w:r>
      <w:r>
        <w:rPr>
          <w:rFonts w:hint="eastAsia" w:ascii="仿宋_GB2312" w:hAnsi="仿宋" w:eastAsia="仿宋_GB2312"/>
          <w:b/>
          <w:bCs/>
          <w:color w:val="auto"/>
          <w:sz w:val="32"/>
          <w:szCs w:val="32"/>
        </w:rPr>
        <w:t>退役大学生士兵可申请参加退役大学生士兵免试专升本招生，具体办法另文通知。</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华文中宋" w:eastAsia="楷体_GB2312" w:cs="Times New Roman"/>
          <w:sz w:val="32"/>
          <w:szCs w:val="32"/>
        </w:rPr>
      </w:pPr>
      <w:r>
        <w:rPr>
          <w:rFonts w:hint="eastAsia" w:ascii="楷体_GB2312" w:hAnsi="华文中宋" w:eastAsia="楷体_GB2312" w:cs="Times New Roman"/>
          <w:sz w:val="32"/>
          <w:szCs w:val="32"/>
        </w:rPr>
        <w:t>（二）下列人员不得报考：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1.普通高校应届毕业生之外的各类高等学历教育在校生；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2.因违反国家教育考试规定,被给予暂停参加</w:t>
      </w:r>
      <w:r>
        <w:rPr>
          <w:rFonts w:hint="eastAsia" w:ascii="仿宋_GB2312" w:hAnsi="仿宋" w:eastAsia="仿宋_GB2312" w:cs="Times New Roman"/>
          <w:color w:val="auto"/>
          <w:sz w:val="32"/>
          <w:szCs w:val="32"/>
          <w:lang w:eastAsia="zh-CN"/>
        </w:rPr>
        <w:t>普通专升本</w:t>
      </w:r>
      <w:r>
        <w:rPr>
          <w:rFonts w:hint="eastAsia" w:ascii="仿宋_GB2312" w:hAnsi="仿宋" w:eastAsia="仿宋_GB2312" w:cs="Times New Roman"/>
          <w:color w:val="auto"/>
          <w:sz w:val="32"/>
          <w:szCs w:val="32"/>
        </w:rPr>
        <w:t>招生考试处理且在停考期内的人员;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3.因触犯刑律已被有关部门采取强制措施或正在服刑者；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4.不符合报考条件的其他人员。</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rPr>
        <w:t>二、报名</w:t>
      </w:r>
      <w:r>
        <w:rPr>
          <w:rFonts w:hint="eastAsia" w:ascii="黑体" w:hAnsi="黑体" w:eastAsia="黑体"/>
          <w:color w:val="auto"/>
          <w:sz w:val="32"/>
          <w:szCs w:val="32"/>
          <w:lang w:eastAsia="zh-CN"/>
        </w:rPr>
        <w:t>方式</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华文中宋" w:eastAsia="楷体_GB2312" w:cs="Times New Roman"/>
          <w:sz w:val="32"/>
          <w:szCs w:val="32"/>
          <w:lang w:val="en-US" w:eastAsia="zh-CN"/>
        </w:rPr>
      </w:pPr>
      <w:r>
        <w:rPr>
          <w:rFonts w:hint="eastAsia" w:ascii="楷体_GB2312" w:hAnsi="华文中宋" w:eastAsia="楷体_GB2312" w:cs="Times New Roman"/>
          <w:sz w:val="32"/>
          <w:szCs w:val="32"/>
          <w:lang w:val="en-US" w:eastAsia="zh-CN"/>
        </w:rPr>
        <w:t>（一）预报名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olor w:val="000000"/>
          <w:sz w:val="32"/>
          <w:szCs w:val="32"/>
        </w:rPr>
        <w:t>2022年1月15日至20日（共6天）</w:t>
      </w:r>
      <w:r>
        <w:rPr>
          <w:rFonts w:hint="eastAsia" w:ascii="仿宋_GB2312" w:hAnsi="仿宋" w:eastAsia="仿宋_GB2312" w:cs="Times New Roman"/>
          <w:color w:val="auto"/>
          <w:sz w:val="32"/>
          <w:szCs w:val="32"/>
        </w:rPr>
        <w:t>为网上预报名时间，考生登录</w:t>
      </w:r>
      <w:r>
        <w:rPr>
          <w:rFonts w:hint="eastAsia" w:ascii="仿宋_GB2312" w:hAnsi="仿宋" w:eastAsia="仿宋_GB2312"/>
          <w:color w:val="000000"/>
          <w:sz w:val="32"/>
          <w:szCs w:val="32"/>
        </w:rPr>
        <w:t>http://www.eeagd.edu.cn/ptzsbks</w:t>
      </w:r>
      <w:r>
        <w:rPr>
          <w:rFonts w:hint="eastAsia" w:ascii="仿宋_GB2312" w:hAnsi="仿宋" w:eastAsia="仿宋_GB2312" w:cs="Times New Roman"/>
          <w:color w:val="auto"/>
          <w:sz w:val="32"/>
          <w:szCs w:val="32"/>
        </w:rPr>
        <w:t>，进入“广东省202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年普通高校专升本报名系统”进行预报名，阅读相关报考规定、要求，签订《诚信考试承诺书》，录入报名信息，绑定手机号，关注省教育考试院官微（gdsksy）小程序采集相片，上传资料，获取预报名号并设定密码</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考生须认真查阅</w:t>
      </w:r>
      <w:r>
        <w:rPr>
          <w:rFonts w:hint="eastAsia" w:ascii="仿宋_GB2312" w:hAnsi="仿宋" w:eastAsia="仿宋_GB2312" w:cs="Times New Roman"/>
          <w:color w:val="auto"/>
          <w:sz w:val="32"/>
          <w:szCs w:val="32"/>
          <w:lang w:eastAsia="zh-CN"/>
        </w:rPr>
        <w:t>我校</w:t>
      </w:r>
      <w:r>
        <w:rPr>
          <w:rFonts w:hint="eastAsia" w:ascii="仿宋_GB2312" w:hAnsi="仿宋" w:eastAsia="仿宋_GB2312" w:cs="Times New Roman"/>
          <w:color w:val="auto"/>
          <w:sz w:val="32"/>
          <w:szCs w:val="32"/>
        </w:rPr>
        <w:t>的招生简章和《广东省202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年普通高等学校专升本招生专业目录及考试要求》，详细了解招生专业的相关要求。按学科门类选择专业基础课科目；对于专业综合课，考生要结合自身拟报考院校及专业实际</w:t>
      </w:r>
      <w:r>
        <w:rPr>
          <w:rFonts w:hint="eastAsia" w:ascii="仿宋_GB2312" w:hAnsi="仿宋" w:eastAsia="仿宋_GB2312" w:cs="Times New Roman"/>
          <w:color w:val="auto"/>
          <w:sz w:val="32"/>
          <w:szCs w:val="32"/>
          <w:lang w:val="en-US" w:eastAsia="zh-CN"/>
        </w:rPr>
        <w:t>进行选择。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考生须自行进行在线专科学历学籍验证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尚未取得专科毕业证书的</w:t>
      </w:r>
      <w:r>
        <w:rPr>
          <w:rFonts w:hint="eastAsia" w:ascii="仿宋_GB2312" w:hAnsi="仿宋" w:eastAsia="仿宋_GB2312" w:cs="Times New Roman"/>
          <w:b/>
          <w:bCs/>
          <w:color w:val="auto"/>
          <w:sz w:val="32"/>
          <w:szCs w:val="32"/>
        </w:rPr>
        <w:t>普通高校应届专科毕业生</w:t>
      </w:r>
      <w:r>
        <w:rPr>
          <w:rFonts w:hint="eastAsia" w:ascii="仿宋_GB2312" w:hAnsi="仿宋" w:eastAsia="仿宋_GB2312" w:cs="Times New Roman"/>
          <w:b/>
          <w:bCs/>
          <w:color w:val="auto"/>
          <w:sz w:val="32"/>
          <w:szCs w:val="32"/>
          <w:lang w:eastAsia="zh-CN"/>
        </w:rPr>
        <w:t>，</w:t>
      </w:r>
      <w:r>
        <w:rPr>
          <w:rFonts w:hint="eastAsia" w:ascii="仿宋_GB2312" w:hAnsi="仿宋" w:eastAsia="仿宋_GB2312" w:cs="Times New Roman"/>
          <w:color w:val="auto"/>
          <w:sz w:val="32"/>
          <w:szCs w:val="32"/>
        </w:rPr>
        <w:t>在网上报名时须在报名系统“</w:t>
      </w:r>
      <w:r>
        <w:rPr>
          <w:rFonts w:hint="eastAsia" w:ascii="仿宋_GB2312" w:hAnsi="仿宋" w:eastAsia="仿宋_GB2312" w:cs="Times New Roman"/>
          <w:b/>
          <w:bCs/>
          <w:color w:val="auto"/>
          <w:sz w:val="32"/>
          <w:szCs w:val="32"/>
        </w:rPr>
        <w:t>专科学籍查验</w:t>
      </w:r>
      <w:r>
        <w:rPr>
          <w:rFonts w:hint="eastAsia" w:ascii="仿宋_GB2312" w:hAnsi="仿宋" w:eastAsia="仿宋_GB2312" w:cs="Times New Roman"/>
          <w:color w:val="auto"/>
          <w:sz w:val="32"/>
          <w:szCs w:val="32"/>
        </w:rPr>
        <w:t>”模块输入本人身份证号码和姓名等信息，进行专科学籍查验，由系统反馈验证结果。验证结果分“通过”和“不通过”两种。学籍查验“不通过”的考生，不予报考。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b/>
          <w:bCs/>
          <w:color w:val="auto"/>
          <w:sz w:val="32"/>
          <w:szCs w:val="32"/>
        </w:rPr>
        <w:t>在广东省参加普通高考，就读外省普通高校的应届专科毕业生</w:t>
      </w:r>
      <w:r>
        <w:rPr>
          <w:rFonts w:hint="eastAsia" w:ascii="仿宋_GB2312" w:hAnsi="仿宋" w:eastAsia="仿宋_GB2312" w:cs="Times New Roman"/>
          <w:b/>
          <w:bCs/>
          <w:color w:val="auto"/>
          <w:sz w:val="32"/>
          <w:szCs w:val="32"/>
          <w:lang w:eastAsia="zh-CN"/>
        </w:rPr>
        <w:t>，</w:t>
      </w:r>
      <w:r>
        <w:rPr>
          <w:rFonts w:hint="eastAsia" w:ascii="仿宋_GB2312" w:hAnsi="仿宋" w:eastAsia="仿宋_GB2312" w:cs="Times New Roman"/>
          <w:color w:val="auto"/>
          <w:sz w:val="32"/>
          <w:szCs w:val="32"/>
        </w:rPr>
        <w:t>预报名时</w:t>
      </w:r>
      <w:r>
        <w:rPr>
          <w:rFonts w:hint="eastAsia" w:ascii="仿宋_GB2312" w:hAnsi="仿宋" w:eastAsia="仿宋_GB2312" w:cs="Times New Roman"/>
          <w:color w:val="auto"/>
          <w:sz w:val="32"/>
          <w:szCs w:val="32"/>
          <w:lang w:val="en-US" w:eastAsia="zh-CN"/>
        </w:rPr>
        <w:t>除了</w:t>
      </w:r>
      <w:r>
        <w:rPr>
          <w:rFonts w:hint="eastAsia" w:ascii="仿宋_GB2312" w:hAnsi="仿宋" w:eastAsia="仿宋_GB2312" w:cs="Times New Roman"/>
          <w:color w:val="auto"/>
          <w:sz w:val="32"/>
          <w:szCs w:val="32"/>
        </w:rPr>
        <w:t>进行在线专科学籍验证，在填报信息获取预报名号后，还需在专科学历学籍验证界面上点击“验证专科录取信息”按钮进行普通高校专科录取信息验证，由系统反馈验证结果。验证结果分“通过”和“不通过”两种，验证结果为“通过”的考生才能上传报名资料供审核；验证结果为“不通过”的考生（姓名、身份证号与专科录取时的不相符），可咨询广东省教育考试院，联系电话：020-89338633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（3）</w:t>
      </w:r>
      <w:r>
        <w:rPr>
          <w:rFonts w:hint="eastAsia" w:ascii="仿宋_GB2312" w:hAnsi="仿宋" w:eastAsia="仿宋_GB2312" w:cs="Times New Roman"/>
          <w:b/>
          <w:bCs/>
          <w:color w:val="auto"/>
          <w:sz w:val="32"/>
          <w:szCs w:val="32"/>
        </w:rPr>
        <w:t>已取得专科毕业证书的往届考生</w:t>
      </w:r>
      <w:r>
        <w:rPr>
          <w:rFonts w:hint="eastAsia" w:ascii="仿宋_GB2312" w:hAnsi="仿宋" w:eastAsia="仿宋_GB2312" w:cs="Times New Roman"/>
          <w:color w:val="auto"/>
          <w:sz w:val="32"/>
          <w:szCs w:val="32"/>
        </w:rPr>
        <w:t>，在网上报名时须在报名系统“</w:t>
      </w:r>
      <w:r>
        <w:rPr>
          <w:rFonts w:hint="eastAsia" w:ascii="仿宋_GB2312" w:hAnsi="仿宋" w:eastAsia="仿宋_GB2312" w:cs="Times New Roman"/>
          <w:b/>
          <w:bCs/>
          <w:color w:val="auto"/>
          <w:sz w:val="32"/>
          <w:szCs w:val="32"/>
        </w:rPr>
        <w:t>专科学历验证</w:t>
      </w:r>
      <w:r>
        <w:rPr>
          <w:rFonts w:hint="eastAsia" w:ascii="仿宋_GB2312" w:hAnsi="仿宋" w:eastAsia="仿宋_GB2312" w:cs="Times New Roman"/>
          <w:color w:val="auto"/>
          <w:sz w:val="32"/>
          <w:szCs w:val="32"/>
        </w:rPr>
        <w:t>”模块输入专科毕业证书信息，进行专科学历验证，由系统反馈验证结果。验证结果分“通过”和“不通过”两种。学历验证结果为“不通过”的考生，须自行前往学信网（https://www.chsi.com.cn/xlrz/index.jsp）网上申请专科学历认证</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在报名期间还未获得学历认证报告或电子注册备案表的考生，可选择“申请补学历认证报告或电子注册备案表”，阅读并签订“补报资料承诺书”后，考生须</w:t>
      </w:r>
      <w:r>
        <w:rPr>
          <w:rFonts w:hint="eastAsia" w:ascii="仿宋_GB2312" w:hAnsi="仿宋" w:eastAsia="仿宋_GB2312" w:cs="Times New Roman"/>
          <w:color w:val="auto"/>
          <w:sz w:val="32"/>
          <w:szCs w:val="32"/>
          <w:lang w:eastAsia="zh-CN"/>
        </w:rPr>
        <w:t>在</w:t>
      </w:r>
      <w:r>
        <w:rPr>
          <w:rFonts w:hint="eastAsia" w:ascii="仿宋_GB2312" w:hAnsi="仿宋_GB2312" w:eastAsia="仿宋_GB2312" w:cs="仿宋_GB2312"/>
          <w:b/>
          <w:color w:val="000000"/>
          <w:sz w:val="32"/>
          <w:szCs w:val="32"/>
        </w:rPr>
        <w:t>2022年2月28日</w:t>
      </w:r>
      <w:r>
        <w:rPr>
          <w:rFonts w:hint="eastAsia" w:ascii="仿宋_GB2312" w:hAnsi="仿宋" w:eastAsia="仿宋_GB2312" w:cs="Times New Roman"/>
          <w:color w:val="auto"/>
          <w:sz w:val="32"/>
          <w:szCs w:val="32"/>
        </w:rPr>
        <w:t>将学历认证报告或电子注册备案表上传至报名系统，由省招生办审核，逾期未提交学历认证报告或电子注册备案表</w:t>
      </w:r>
      <w:r>
        <w:rPr>
          <w:rFonts w:hint="eastAsia" w:ascii="仿宋_GB2312" w:hAnsi="仿宋" w:eastAsia="仿宋_GB2312" w:cs="Times New Roman"/>
          <w:color w:val="auto"/>
          <w:sz w:val="32"/>
          <w:szCs w:val="32"/>
          <w:lang w:eastAsia="zh-CN"/>
        </w:rPr>
        <w:t>的考生，将被</w:t>
      </w:r>
      <w:r>
        <w:rPr>
          <w:rFonts w:hint="eastAsia" w:ascii="仿宋_GB2312" w:hAnsi="仿宋" w:eastAsia="仿宋_GB2312" w:cs="Times New Roman"/>
          <w:color w:val="auto"/>
          <w:sz w:val="32"/>
          <w:szCs w:val="32"/>
        </w:rPr>
        <w:t>取消报考资格,不予打印准考证,不安排考试。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考生在报名前可以根据本人专科毕业的实际情况提前办理学历认证报告或电子注册备案表。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（4）</w:t>
      </w:r>
      <w:r>
        <w:rPr>
          <w:rFonts w:hint="eastAsia" w:ascii="仿宋_GB2312" w:hAnsi="仿宋" w:eastAsia="仿宋_GB2312" w:cs="Times New Roman"/>
          <w:color w:val="auto"/>
          <w:sz w:val="32"/>
          <w:szCs w:val="32"/>
        </w:rPr>
        <w:t>参加</w:t>
      </w:r>
      <w:r>
        <w:rPr>
          <w:rFonts w:hint="eastAsia" w:ascii="仿宋_GB2312" w:hAnsi="仿宋" w:eastAsia="仿宋_GB2312" w:cs="Times New Roman"/>
          <w:b/>
          <w:bCs/>
          <w:color w:val="auto"/>
          <w:sz w:val="32"/>
          <w:szCs w:val="32"/>
          <w:lang w:val="en-US" w:eastAsia="zh-CN"/>
        </w:rPr>
        <w:t>自学考试</w:t>
      </w:r>
      <w:r>
        <w:rPr>
          <w:rFonts w:hint="eastAsia" w:ascii="仿宋_GB2312" w:hAnsi="仿宋" w:eastAsia="仿宋_GB2312" w:cs="Times New Roman"/>
          <w:color w:val="auto"/>
          <w:sz w:val="32"/>
          <w:szCs w:val="32"/>
        </w:rPr>
        <w:t>且已获得专业考试计划规定的全部课程合格成绩，符合毕业条件，已成功办理202</w:t>
      </w: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color w:val="auto"/>
          <w:sz w:val="32"/>
          <w:szCs w:val="32"/>
        </w:rPr>
        <w:t>年12月毕业手续，但未领取毕业证书的自学考试毕业生可以报考，在预报名时填报信息获取预报名号后，点击“自考毕业情况验证”，由系统反馈验证结果。验证结果分“通过”和“不通过”两种，验证结果为“通过”的考生才能上传报名资料供审核，验证结果为“不通过”的考生，不予报考。</w:t>
      </w:r>
    </w:p>
    <w:p>
      <w:pPr>
        <w:pageBreakBefore w:val="0"/>
        <w:kinsoku/>
        <w:wordWrap/>
        <w:overflowPunct/>
        <w:topLinePunct w:val="0"/>
        <w:autoSpaceDE/>
        <w:autoSpaceDN/>
        <w:bidi w:val="0"/>
        <w:spacing w:line="560" w:lineRule="exact"/>
        <w:ind w:firstLine="640" w:firstLineChars="200"/>
        <w:textAlignment w:val="auto"/>
        <w:rPr>
          <w:rFonts w:hint="eastAsia" w:ascii="楷体_GB2312" w:hAnsi="华文中宋" w:eastAsia="楷体_GB2312" w:cs="Times New Roman"/>
          <w:sz w:val="32"/>
          <w:szCs w:val="32"/>
          <w:lang w:val="en-US" w:eastAsia="zh-CN"/>
        </w:rPr>
      </w:pPr>
      <w:r>
        <w:rPr>
          <w:rFonts w:hint="eastAsia" w:ascii="楷体_GB2312" w:hAnsi="华文中宋" w:eastAsia="楷体_GB2312" w:cs="Times New Roman"/>
          <w:sz w:val="32"/>
          <w:szCs w:val="32"/>
          <w:lang w:val="en-US" w:eastAsia="zh-CN"/>
        </w:rPr>
        <w:t>2.资料上传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考生须将</w:t>
      </w:r>
      <w:r>
        <w:rPr>
          <w:rFonts w:hint="eastAsia" w:ascii="仿宋_GB2312" w:hAnsi="仿宋" w:eastAsia="仿宋_GB2312" w:cs="Times New Roman"/>
          <w:b/>
          <w:bCs/>
          <w:color w:val="auto"/>
          <w:sz w:val="32"/>
          <w:szCs w:val="32"/>
          <w:u w:val="single"/>
        </w:rPr>
        <w:t>户口本（首页</w:t>
      </w:r>
      <w:r>
        <w:rPr>
          <w:rFonts w:hint="eastAsia" w:ascii="仿宋_GB2312" w:hAnsi="仿宋" w:eastAsia="仿宋_GB2312" w:cs="Times New Roman"/>
          <w:b/>
          <w:bCs/>
          <w:color w:val="auto"/>
          <w:sz w:val="32"/>
          <w:szCs w:val="32"/>
          <w:u w:val="single"/>
          <w:lang w:val="en-US" w:eastAsia="zh-CN"/>
        </w:rPr>
        <w:t>和</w:t>
      </w:r>
      <w:r>
        <w:rPr>
          <w:rFonts w:hint="eastAsia" w:ascii="仿宋_GB2312" w:hAnsi="仿宋" w:eastAsia="仿宋_GB2312" w:cs="Times New Roman"/>
          <w:b/>
          <w:bCs/>
          <w:color w:val="auto"/>
          <w:sz w:val="32"/>
          <w:szCs w:val="32"/>
          <w:u w:val="single"/>
        </w:rPr>
        <w:t>本人姓名页）</w:t>
      </w:r>
      <w:r>
        <w:rPr>
          <w:rFonts w:hint="eastAsia" w:ascii="仿宋_GB2312" w:hAnsi="仿宋" w:eastAsia="仿宋_GB2312" w:cs="Times New Roman"/>
          <w:b/>
          <w:bCs/>
          <w:color w:val="auto"/>
          <w:sz w:val="32"/>
          <w:szCs w:val="32"/>
          <w:u w:val="single"/>
          <w:lang w:eastAsia="zh-CN"/>
        </w:rPr>
        <w:t>、</w:t>
      </w:r>
      <w:r>
        <w:rPr>
          <w:rFonts w:hint="eastAsia" w:ascii="仿宋_GB2312" w:hAnsi="仿宋" w:eastAsia="仿宋_GB2312" w:cs="Times New Roman"/>
          <w:b/>
          <w:bCs/>
          <w:color w:val="auto"/>
          <w:sz w:val="32"/>
          <w:szCs w:val="32"/>
          <w:u w:val="single"/>
        </w:rPr>
        <w:t>体检表</w:t>
      </w:r>
      <w:r>
        <w:rPr>
          <w:rFonts w:hint="eastAsia" w:ascii="仿宋_GB2312" w:hAnsi="仿宋" w:eastAsia="仿宋_GB2312" w:cs="Times New Roman"/>
          <w:color w:val="auto"/>
          <w:sz w:val="32"/>
          <w:szCs w:val="32"/>
          <w:lang w:val="en-US" w:eastAsia="zh-CN"/>
        </w:rPr>
        <w:t>扫描或拍照（须确保资料真实、完整、清晰）上传至“广东省2022年普通高校专升本报名系统”。此外：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u w:val="none"/>
        </w:rPr>
      </w:pPr>
      <w:r>
        <w:rPr>
          <w:rFonts w:hint="eastAsia" w:ascii="仿宋_GB2312" w:hAnsi="仿宋" w:eastAsia="仿宋_GB2312" w:cs="Times New Roman"/>
          <w:color w:val="auto"/>
          <w:sz w:val="32"/>
          <w:szCs w:val="32"/>
          <w:lang w:val="en-US" w:eastAsia="zh-CN"/>
        </w:rPr>
        <w:t>（1）</w:t>
      </w:r>
      <w:r>
        <w:rPr>
          <w:rFonts w:hint="eastAsia" w:ascii="仿宋_GB2312" w:hAnsi="仿宋" w:eastAsia="仿宋_GB2312" w:cs="Times New Roman"/>
          <w:b w:val="0"/>
          <w:bCs w:val="0"/>
          <w:color w:val="auto"/>
          <w:sz w:val="32"/>
          <w:szCs w:val="32"/>
          <w:lang w:val="en-US" w:eastAsia="zh-CN"/>
        </w:rPr>
        <w:t>已取得专科毕业证但</w:t>
      </w:r>
      <w:r>
        <w:rPr>
          <w:rFonts w:hint="eastAsia" w:ascii="仿宋_GB2312" w:hAnsi="仿宋" w:eastAsia="仿宋_GB2312" w:cs="Times New Roman"/>
          <w:b/>
          <w:bCs/>
          <w:color w:val="auto"/>
          <w:sz w:val="32"/>
          <w:szCs w:val="32"/>
        </w:rPr>
        <w:t>学历验证结果为“不通过”的考生</w:t>
      </w:r>
      <w:r>
        <w:rPr>
          <w:rFonts w:hint="eastAsia" w:ascii="仿宋_GB2312" w:hAnsi="仿宋" w:eastAsia="仿宋_GB2312" w:cs="Times New Roman"/>
          <w:color w:val="auto"/>
          <w:sz w:val="32"/>
          <w:szCs w:val="32"/>
          <w:lang w:eastAsia="zh-CN"/>
        </w:rPr>
        <w:t>还</w:t>
      </w:r>
      <w:r>
        <w:rPr>
          <w:rFonts w:hint="eastAsia" w:ascii="仿宋_GB2312" w:hAnsi="仿宋" w:eastAsia="仿宋_GB2312" w:cs="Times New Roman"/>
          <w:color w:val="auto"/>
          <w:sz w:val="32"/>
          <w:szCs w:val="32"/>
        </w:rPr>
        <w:t>须</w:t>
      </w:r>
      <w:r>
        <w:rPr>
          <w:rFonts w:hint="eastAsia" w:ascii="仿宋_GB2312" w:hAnsi="仿宋" w:eastAsia="仿宋_GB2312" w:cs="Times New Roman"/>
          <w:b w:val="0"/>
          <w:bCs w:val="0"/>
          <w:color w:val="auto"/>
          <w:sz w:val="32"/>
          <w:szCs w:val="32"/>
          <w:u w:val="none"/>
        </w:rPr>
        <w:t>上传专科毕业证书</w:t>
      </w:r>
      <w:r>
        <w:rPr>
          <w:rFonts w:hint="eastAsia" w:ascii="仿宋_GB2312" w:hAnsi="仿宋" w:eastAsia="仿宋_GB2312" w:cs="Times New Roman"/>
          <w:b w:val="0"/>
          <w:bCs w:val="0"/>
          <w:color w:val="auto"/>
          <w:sz w:val="32"/>
          <w:szCs w:val="32"/>
          <w:u w:val="none"/>
          <w:lang w:eastAsia="zh-CN"/>
        </w:rPr>
        <w:t>、</w:t>
      </w:r>
      <w:r>
        <w:rPr>
          <w:rFonts w:hint="eastAsia" w:ascii="仿宋_GB2312" w:hAnsi="仿宋" w:eastAsia="仿宋_GB2312" w:cs="Times New Roman"/>
          <w:b w:val="0"/>
          <w:bCs w:val="0"/>
          <w:color w:val="auto"/>
          <w:sz w:val="32"/>
          <w:szCs w:val="32"/>
          <w:u w:val="none"/>
        </w:rPr>
        <w:t>学历认证报告（或电子注册备案表）。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u w:val="none"/>
        </w:rPr>
      </w:pPr>
      <w:r>
        <w:rPr>
          <w:rFonts w:hint="eastAsia" w:ascii="仿宋_GB2312" w:hAnsi="仿宋" w:eastAsia="仿宋_GB2312" w:cs="Times New Roman"/>
          <w:color w:val="auto"/>
          <w:sz w:val="32"/>
          <w:szCs w:val="32"/>
          <w:lang w:val="en-US" w:eastAsia="zh-CN"/>
        </w:rPr>
        <w:t>（2）</w:t>
      </w:r>
      <w:r>
        <w:rPr>
          <w:rFonts w:hint="eastAsia" w:ascii="仿宋_GB2312" w:hAnsi="仿宋" w:eastAsia="仿宋_GB2312"/>
          <w:b/>
          <w:bCs/>
          <w:color w:val="000000"/>
          <w:sz w:val="32"/>
          <w:szCs w:val="32"/>
        </w:rPr>
        <w:t>在外省参加自学考试的</w:t>
      </w:r>
      <w:r>
        <w:rPr>
          <w:rFonts w:hint="eastAsia" w:ascii="仿宋_GB2312" w:hAnsi="仿宋" w:eastAsia="仿宋_GB2312"/>
          <w:b/>
          <w:bCs/>
          <w:color w:val="000000"/>
          <w:sz w:val="32"/>
          <w:szCs w:val="32"/>
          <w:lang w:val="en-US" w:eastAsia="zh-CN"/>
        </w:rPr>
        <w:t>考生</w:t>
      </w:r>
      <w:r>
        <w:rPr>
          <w:rFonts w:hint="eastAsia" w:ascii="仿宋_GB2312" w:hAnsi="仿宋" w:eastAsia="仿宋_GB2312" w:cs="Times New Roman"/>
          <w:color w:val="auto"/>
          <w:sz w:val="32"/>
          <w:szCs w:val="32"/>
          <w:lang w:eastAsia="zh-CN"/>
        </w:rPr>
        <w:t>还</w:t>
      </w:r>
      <w:r>
        <w:rPr>
          <w:rFonts w:hint="eastAsia" w:ascii="仿宋_GB2312" w:hAnsi="仿宋" w:eastAsia="仿宋_GB2312" w:cs="Times New Roman"/>
          <w:color w:val="auto"/>
          <w:sz w:val="32"/>
          <w:szCs w:val="32"/>
        </w:rPr>
        <w:t>须上</w:t>
      </w:r>
      <w:r>
        <w:rPr>
          <w:rFonts w:hint="eastAsia" w:ascii="仿宋_GB2312" w:hAnsi="仿宋" w:eastAsia="仿宋_GB2312" w:cs="Times New Roman"/>
          <w:b w:val="0"/>
          <w:bCs w:val="0"/>
          <w:color w:val="auto"/>
          <w:sz w:val="32"/>
          <w:szCs w:val="32"/>
        </w:rPr>
        <w:t>传</w:t>
      </w:r>
      <w:r>
        <w:rPr>
          <w:rFonts w:hint="eastAsia" w:ascii="仿宋_GB2312" w:hAnsi="仿宋" w:eastAsia="仿宋_GB2312"/>
          <w:b w:val="0"/>
          <w:bCs w:val="0"/>
          <w:color w:val="000000"/>
          <w:sz w:val="32"/>
          <w:szCs w:val="32"/>
        </w:rPr>
        <w:t>由该省教育考试机构</w:t>
      </w:r>
      <w:r>
        <w:rPr>
          <w:rFonts w:hint="eastAsia" w:ascii="仿宋_GB2312" w:hAnsi="仿宋" w:eastAsia="仿宋_GB2312"/>
          <w:b w:val="0"/>
          <w:bCs w:val="0"/>
          <w:color w:val="000000"/>
          <w:sz w:val="32"/>
          <w:szCs w:val="32"/>
          <w:u w:val="none"/>
        </w:rPr>
        <w:t>出具成绩单及“符合毕业证明”。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w:t>
      </w:r>
      <w:r>
        <w:rPr>
          <w:rFonts w:hint="eastAsia" w:ascii="仿宋_GB2312" w:hAnsi="仿宋" w:eastAsia="仿宋_GB2312" w:cs="Times New Roman"/>
          <w:b/>
          <w:bCs/>
          <w:color w:val="auto"/>
          <w:sz w:val="32"/>
          <w:szCs w:val="32"/>
          <w:lang w:val="en-US" w:eastAsia="zh-CN"/>
        </w:rPr>
        <w:t>非广东户籍报考建档立卡类别</w:t>
      </w:r>
      <w:r>
        <w:rPr>
          <w:rFonts w:hint="eastAsia" w:ascii="仿宋_GB2312" w:hAnsi="仿宋" w:eastAsia="仿宋_GB2312" w:cs="Times New Roman"/>
          <w:color w:val="auto"/>
          <w:sz w:val="32"/>
          <w:szCs w:val="32"/>
        </w:rPr>
        <w:t>的考生还须上传有关建档立卡的证明资料。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（4）</w:t>
      </w:r>
      <w:r>
        <w:rPr>
          <w:rFonts w:hint="eastAsia" w:ascii="仿宋_GB2312" w:hAnsi="仿宋" w:eastAsia="仿宋_GB2312" w:cs="Times New Roman"/>
          <w:color w:val="auto"/>
          <w:sz w:val="32"/>
          <w:szCs w:val="32"/>
        </w:rPr>
        <w:t>符合</w:t>
      </w:r>
      <w:r>
        <w:rPr>
          <w:rFonts w:hint="eastAsia" w:ascii="仿宋_GB2312" w:hAnsi="仿宋" w:eastAsia="仿宋_GB2312" w:cs="Times New Roman"/>
          <w:color w:val="auto"/>
          <w:sz w:val="32"/>
          <w:szCs w:val="32"/>
          <w:lang w:eastAsia="zh-CN"/>
        </w:rPr>
        <w:t>广东</w:t>
      </w:r>
      <w:r>
        <w:rPr>
          <w:rFonts w:hint="eastAsia" w:ascii="仿宋_GB2312" w:hAnsi="仿宋" w:eastAsia="仿宋_GB2312" w:cs="Times New Roman"/>
          <w:color w:val="auto"/>
          <w:sz w:val="32"/>
          <w:szCs w:val="32"/>
        </w:rPr>
        <w:t>省招生委员会</w:t>
      </w:r>
      <w:r>
        <w:rPr>
          <w:rFonts w:hint="eastAsia" w:ascii="仿宋_GB2312" w:hAnsi="仿宋" w:eastAsia="仿宋_GB2312" w:cs="Times New Roman"/>
          <w:b/>
          <w:bCs/>
          <w:color w:val="auto"/>
          <w:sz w:val="32"/>
          <w:szCs w:val="32"/>
        </w:rPr>
        <w:t>有关规定加分照顾政策的考生</w:t>
      </w:r>
      <w:r>
        <w:rPr>
          <w:rFonts w:hint="eastAsia" w:ascii="仿宋_GB2312" w:hAnsi="仿宋" w:eastAsia="仿宋_GB2312" w:cs="Times New Roman"/>
          <w:color w:val="auto"/>
          <w:sz w:val="32"/>
          <w:szCs w:val="32"/>
        </w:rPr>
        <w:t>还须上传相应的获奖证书等证明资料。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3.考生可在广东省教育考试院或肇庆学院招生官网下载专区下载《广东省2022年普通高校专升本招生体格检查表》（附件4）的规定，并在2022年1月1日至填报志愿第一天自行</w:t>
      </w:r>
      <w:r>
        <w:rPr>
          <w:rFonts w:hint="eastAsia" w:ascii="仿宋_GB2312" w:hAnsi="仿宋" w:eastAsia="仿宋_GB2312" w:cs="Times New Roman"/>
          <w:b w:val="0"/>
          <w:bCs w:val="0"/>
          <w:color w:val="auto"/>
          <w:sz w:val="32"/>
          <w:szCs w:val="32"/>
          <w:lang w:val="en-US" w:eastAsia="zh-CN"/>
        </w:rPr>
        <w:t>前往二级甲等（含）以上医院或相应的医疗单位进行体检。被录取的考生入</w:t>
      </w:r>
      <w:r>
        <w:rPr>
          <w:rFonts w:hint="eastAsia" w:ascii="仿宋_GB2312" w:hAnsi="仿宋" w:eastAsia="仿宋_GB2312" w:cs="Times New Roman"/>
          <w:color w:val="auto"/>
          <w:sz w:val="32"/>
          <w:szCs w:val="32"/>
          <w:lang w:val="en-US" w:eastAsia="zh-CN"/>
        </w:rPr>
        <w:t>学后，由学校进行身体复检，复检不合格者取消入学资格。考生应根据自己的身体状况慎重报考。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根据国务院全面推动证明事项等告知承诺制度要求，考生须认真按要求填报相关信息及上传相关材料，并确保所提供的信息及材料的真实性。考生如凭无效证件或其他不符合报考条件的证件报名，一旦发现，取消考生报名资格，已录取考生取消其报名及录取资格。</w:t>
      </w:r>
    </w:p>
    <w:p>
      <w:pPr>
        <w:pageBreakBefore w:val="0"/>
        <w:kinsoku/>
        <w:wordWrap/>
        <w:overflowPunct/>
        <w:topLinePunct w:val="0"/>
        <w:autoSpaceDE/>
        <w:autoSpaceDN/>
        <w:bidi w:val="0"/>
        <w:spacing w:line="560" w:lineRule="exact"/>
        <w:ind w:firstLine="640" w:firstLineChars="200"/>
        <w:textAlignment w:val="auto"/>
        <w:rPr>
          <w:rFonts w:hint="default" w:ascii="楷体_GB2312" w:hAnsi="华文中宋" w:eastAsia="楷体_GB2312" w:cs="Times New Roman"/>
          <w:sz w:val="32"/>
          <w:szCs w:val="32"/>
          <w:lang w:val="en-US" w:eastAsia="zh-CN"/>
        </w:rPr>
      </w:pPr>
      <w:r>
        <w:rPr>
          <w:rFonts w:hint="eastAsia" w:ascii="楷体_GB2312" w:hAnsi="华文中宋" w:eastAsia="楷体_GB2312" w:cs="Times New Roman"/>
          <w:sz w:val="32"/>
          <w:szCs w:val="32"/>
          <w:lang w:val="en-US" w:eastAsia="zh-CN"/>
        </w:rPr>
        <w:t>（二）确认报名与交费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lang w:val="en-US" w:eastAsia="zh-CN"/>
        </w:rPr>
      </w:pPr>
      <w:r>
        <w:rPr>
          <w:rFonts w:hint="eastAsia" w:ascii="仿宋_GB2312" w:hAnsi="仿宋" w:eastAsia="仿宋_GB2312" w:cs="Times New Roman"/>
          <w:color w:val="auto"/>
          <w:sz w:val="32"/>
          <w:szCs w:val="32"/>
          <w:lang w:val="en-US" w:eastAsia="zh-CN"/>
        </w:rPr>
        <w:t>1.确认审核结果。</w:t>
      </w:r>
      <w:r>
        <w:rPr>
          <w:rFonts w:hint="eastAsia" w:ascii="仿宋_GB2312" w:hAnsi="仿宋" w:eastAsia="仿宋_GB2312" w:cs="Times New Roman"/>
          <w:color w:val="auto"/>
          <w:sz w:val="32"/>
          <w:szCs w:val="32"/>
        </w:rPr>
        <w:t>考生提交预报名资料后，省招生办在48小时内完成</w:t>
      </w:r>
      <w:r>
        <w:rPr>
          <w:rFonts w:hint="eastAsia" w:ascii="仿宋_GB2312" w:hAnsi="仿宋" w:eastAsia="仿宋_GB2312" w:cs="Times New Roman"/>
          <w:color w:val="auto"/>
          <w:sz w:val="32"/>
          <w:szCs w:val="32"/>
          <w:lang w:eastAsia="zh-CN"/>
        </w:rPr>
        <w:t>报考省统考的考生</w:t>
      </w:r>
      <w:r>
        <w:rPr>
          <w:rFonts w:hint="eastAsia" w:ascii="仿宋_GB2312" w:hAnsi="仿宋" w:eastAsia="仿宋_GB2312" w:cs="Times New Roman"/>
          <w:color w:val="auto"/>
          <w:sz w:val="32"/>
          <w:szCs w:val="32"/>
        </w:rPr>
        <w:t>资料审核</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1月</w:t>
      </w:r>
      <w:r>
        <w:rPr>
          <w:rFonts w:hint="eastAsia" w:ascii="仿宋_GB2312" w:hAnsi="仿宋" w:eastAsia="仿宋_GB2312" w:cs="Times New Roman"/>
          <w:color w:val="auto"/>
          <w:sz w:val="32"/>
          <w:szCs w:val="32"/>
          <w:lang w:val="en-US" w:eastAsia="zh-CN"/>
        </w:rPr>
        <w:t>22</w:t>
      </w:r>
      <w:r>
        <w:rPr>
          <w:rFonts w:hint="eastAsia" w:ascii="仿宋_GB2312" w:hAnsi="仿宋" w:eastAsia="仿宋_GB2312" w:cs="Times New Roman"/>
          <w:color w:val="auto"/>
          <w:sz w:val="32"/>
          <w:szCs w:val="32"/>
        </w:rPr>
        <w:t>日18:00前完成所有预报名考生资料审核。考生可登录系统查看报名资格审核结果，审核</w:t>
      </w:r>
      <w:r>
        <w:rPr>
          <w:rFonts w:hint="eastAsia" w:ascii="仿宋_GB2312" w:hAnsi="仿宋" w:eastAsia="仿宋_GB2312" w:cs="Times New Roman"/>
          <w:b w:val="0"/>
          <w:bCs w:val="0"/>
          <w:color w:val="auto"/>
          <w:sz w:val="32"/>
          <w:szCs w:val="32"/>
        </w:rPr>
        <w:t>结果为“通过”或“待验证”的考生可以交费</w:t>
      </w:r>
      <w:r>
        <w:rPr>
          <w:rFonts w:hint="eastAsia" w:ascii="仿宋_GB2312" w:hAnsi="仿宋" w:eastAsia="仿宋_GB2312" w:cs="Times New Roman"/>
          <w:b w:val="0"/>
          <w:bCs w:val="0"/>
          <w:color w:val="auto"/>
          <w:sz w:val="32"/>
          <w:szCs w:val="32"/>
          <w:lang w:eastAsia="zh-CN"/>
        </w:rPr>
        <w:t>，确认报名资格。</w:t>
      </w:r>
      <w:r>
        <w:rPr>
          <w:rFonts w:hint="eastAsia" w:ascii="仿宋_GB2312" w:hAnsi="仿宋" w:eastAsia="仿宋_GB2312" w:cs="Times New Roman"/>
          <w:b w:val="0"/>
          <w:bCs w:val="0"/>
          <w:color w:val="auto"/>
          <w:sz w:val="32"/>
          <w:szCs w:val="32"/>
          <w:lang w:val="en-US" w:eastAsia="zh-CN"/>
        </w:rPr>
        <w:t>审核结果为“不通过”的，考生根据反馈不通过的原因，须在1月23日18：00前上传补充资料，逾期未补充资料的，视为放弃报名。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rPr>
      </w:pPr>
      <w:r>
        <w:rPr>
          <w:rFonts w:hint="eastAsia" w:ascii="仿宋_GB2312" w:hAnsi="仿宋" w:eastAsia="仿宋_GB2312" w:cs="Times New Roman"/>
          <w:color w:val="auto"/>
          <w:sz w:val="32"/>
          <w:szCs w:val="32"/>
          <w:lang w:val="en-US" w:eastAsia="zh-CN"/>
        </w:rPr>
        <w:t>2.交费。</w:t>
      </w:r>
      <w:r>
        <w:rPr>
          <w:rFonts w:hint="eastAsia" w:ascii="仿宋_GB2312" w:hAnsi="仿宋" w:eastAsia="仿宋_GB2312" w:cs="Times New Roman"/>
          <w:color w:val="auto"/>
          <w:sz w:val="32"/>
          <w:szCs w:val="32"/>
        </w:rPr>
        <w:t>考生</w:t>
      </w:r>
      <w:r>
        <w:rPr>
          <w:rFonts w:hint="eastAsia" w:ascii="仿宋_GB2312" w:hAnsi="仿宋" w:eastAsia="仿宋_GB2312" w:cs="Times New Roman"/>
          <w:color w:val="auto"/>
          <w:sz w:val="32"/>
          <w:szCs w:val="32"/>
          <w:lang w:val="en-US" w:eastAsia="zh-CN"/>
        </w:rPr>
        <w:t>须</w:t>
      </w:r>
      <w:r>
        <w:rPr>
          <w:rFonts w:hint="eastAsia" w:ascii="仿宋_GB2312" w:hAnsi="仿宋" w:eastAsia="仿宋_GB2312" w:cs="Times New Roman"/>
          <w:color w:val="auto"/>
          <w:sz w:val="32"/>
          <w:szCs w:val="32"/>
          <w:lang w:eastAsia="zh-CN"/>
        </w:rPr>
        <w:t>在</w:t>
      </w:r>
      <w:r>
        <w:rPr>
          <w:rFonts w:hint="eastAsia" w:ascii="仿宋_GB2312" w:hAnsi="仿宋" w:eastAsia="仿宋_GB2312" w:cs="Times New Roman"/>
          <w:b w:val="0"/>
          <w:bCs w:val="0"/>
          <w:color w:val="auto"/>
          <w:sz w:val="32"/>
          <w:szCs w:val="32"/>
          <w:lang w:val="en-US" w:eastAsia="zh-CN"/>
        </w:rPr>
        <w:t>1月24日17:00前</w:t>
      </w:r>
      <w:r>
        <w:rPr>
          <w:rFonts w:hint="eastAsia" w:ascii="仿宋_GB2312" w:hAnsi="仿宋" w:eastAsia="仿宋_GB2312" w:cs="Times New Roman"/>
          <w:color w:val="auto"/>
          <w:sz w:val="32"/>
          <w:szCs w:val="32"/>
        </w:rPr>
        <w:t>交报考费</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40元/科</w:t>
      </w:r>
      <w:r>
        <w:rPr>
          <w:rFonts w:hint="eastAsia" w:ascii="仿宋_GB2312" w:hAnsi="仿宋" w:eastAsia="仿宋_GB2312" w:cs="Times New Roman"/>
          <w:b w:val="0"/>
          <w:bCs w:val="0"/>
          <w:color w:val="auto"/>
          <w:sz w:val="32"/>
          <w:szCs w:val="32"/>
        </w:rPr>
        <w:t>。交费成功的考生才能参加编排考场座位、打印准考证；</w:t>
      </w:r>
      <w:r>
        <w:rPr>
          <w:rFonts w:hint="eastAsia" w:ascii="仿宋_GB2312" w:hAnsi="仿宋" w:eastAsia="仿宋_GB2312" w:cs="Times New Roman"/>
          <w:b w:val="0"/>
          <w:bCs w:val="0"/>
          <w:color w:val="auto"/>
          <w:sz w:val="32"/>
          <w:szCs w:val="32"/>
          <w:lang w:eastAsia="zh-CN"/>
        </w:rPr>
        <w:t>否则</w:t>
      </w:r>
      <w:r>
        <w:rPr>
          <w:rFonts w:hint="eastAsia" w:ascii="仿宋_GB2312" w:hAnsi="仿宋" w:eastAsia="仿宋_GB2312" w:cs="Times New Roman"/>
          <w:b w:val="0"/>
          <w:bCs w:val="0"/>
          <w:color w:val="auto"/>
          <w:sz w:val="32"/>
          <w:szCs w:val="32"/>
        </w:rPr>
        <w:t>视为放弃报名资格。</w:t>
      </w:r>
      <w:r>
        <w:rPr>
          <w:rFonts w:hint="eastAsia" w:ascii="仿宋_GB2312" w:hAnsi="仿宋" w:eastAsia="仿宋_GB2312" w:cs="Times New Roman"/>
          <w:b w:val="0"/>
          <w:bCs w:val="0"/>
          <w:color w:val="auto"/>
          <w:sz w:val="32"/>
          <w:szCs w:val="32"/>
          <w:lang w:eastAsia="zh-CN"/>
        </w:rPr>
        <w:t>交费后自动放弃考试资格的，</w:t>
      </w:r>
      <w:r>
        <w:rPr>
          <w:rFonts w:hint="eastAsia" w:ascii="仿宋_GB2312" w:hAnsi="仿宋" w:eastAsia="仿宋_GB2312" w:cs="Times New Roman"/>
          <w:b w:val="0"/>
          <w:bCs w:val="0"/>
          <w:color w:val="auto"/>
          <w:sz w:val="32"/>
          <w:szCs w:val="32"/>
        </w:rPr>
        <w:t>不予退回报考费。</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三</w:t>
      </w:r>
      <w:r>
        <w:rPr>
          <w:rFonts w:hint="eastAsia" w:ascii="黑体" w:hAnsi="黑体" w:eastAsia="黑体"/>
          <w:color w:val="auto"/>
          <w:sz w:val="32"/>
          <w:szCs w:val="32"/>
        </w:rPr>
        <w:t>、</w:t>
      </w:r>
      <w:r>
        <w:rPr>
          <w:rFonts w:hint="eastAsia" w:ascii="黑体" w:hAnsi="黑体" w:eastAsia="黑体"/>
          <w:color w:val="auto"/>
          <w:sz w:val="32"/>
          <w:szCs w:val="32"/>
          <w:lang w:eastAsia="zh-CN"/>
        </w:rPr>
        <w:t>肇庆学院</w:t>
      </w:r>
      <w:r>
        <w:rPr>
          <w:rFonts w:hint="eastAsia" w:ascii="黑体" w:hAnsi="黑体" w:eastAsia="黑体"/>
          <w:color w:val="auto"/>
          <w:sz w:val="32"/>
          <w:szCs w:val="32"/>
          <w:lang w:val="en-US" w:eastAsia="zh-CN"/>
        </w:rPr>
        <w:t>2022年普通专升本</w:t>
      </w:r>
      <w:r>
        <w:rPr>
          <w:rFonts w:hint="eastAsia" w:ascii="黑体" w:hAnsi="黑体" w:eastAsia="黑体"/>
          <w:color w:val="auto"/>
          <w:sz w:val="32"/>
          <w:szCs w:val="32"/>
        </w:rPr>
        <w:t>招生</w:t>
      </w:r>
      <w:r>
        <w:rPr>
          <w:rFonts w:hint="eastAsia" w:ascii="黑体" w:hAnsi="黑体" w:eastAsia="黑体"/>
          <w:color w:val="auto"/>
          <w:sz w:val="32"/>
          <w:szCs w:val="32"/>
          <w:lang w:val="en-US" w:eastAsia="zh-CN"/>
        </w:rPr>
        <w:t>专业</w:t>
      </w:r>
    </w:p>
    <w:tbl>
      <w:tblPr>
        <w:tblStyle w:val="9"/>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073"/>
        <w:gridCol w:w="1266"/>
        <w:gridCol w:w="1842"/>
        <w:gridCol w:w="899"/>
        <w:gridCol w:w="932"/>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7" w:type="dxa"/>
            <w:vMerge w:val="restart"/>
            <w:vAlign w:val="center"/>
          </w:tcPr>
          <w:p>
            <w:pPr>
              <w:adjustRightInd w:val="0"/>
              <w:snapToGrid w:val="0"/>
              <w:spacing w:line="240" w:lineRule="auto"/>
              <w:jc w:val="center"/>
              <w:rPr>
                <w:rFonts w:hint="eastAsia" w:ascii="仿宋_GB2312" w:hAnsi="仿宋" w:eastAsia="仿宋_GB2312"/>
                <w:b/>
                <w:bCs/>
                <w:color w:val="000000"/>
                <w:sz w:val="21"/>
                <w:szCs w:val="21"/>
                <w:lang w:eastAsia="zh-CN"/>
              </w:rPr>
            </w:pPr>
            <w:r>
              <w:rPr>
                <w:rFonts w:hint="eastAsia" w:ascii="仿宋_GB2312" w:hAnsi="仿宋" w:eastAsia="仿宋_GB2312"/>
                <w:b/>
                <w:bCs/>
                <w:color w:val="000000"/>
                <w:sz w:val="21"/>
                <w:szCs w:val="21"/>
                <w:lang w:eastAsia="zh-CN"/>
              </w:rPr>
              <w:t>学科</w:t>
            </w:r>
          </w:p>
          <w:p>
            <w:pPr>
              <w:adjustRightInd w:val="0"/>
              <w:snapToGrid w:val="0"/>
              <w:spacing w:line="240" w:lineRule="auto"/>
              <w:jc w:val="center"/>
              <w:rPr>
                <w:rFonts w:hint="eastAsia" w:ascii="仿宋_GB2312" w:hAnsi="仿宋" w:eastAsia="仿宋_GB2312"/>
                <w:b/>
                <w:bCs/>
                <w:color w:val="000000"/>
                <w:sz w:val="21"/>
                <w:szCs w:val="21"/>
                <w:lang w:eastAsia="zh-CN"/>
              </w:rPr>
            </w:pPr>
            <w:r>
              <w:rPr>
                <w:rFonts w:hint="eastAsia" w:ascii="仿宋_GB2312" w:hAnsi="仿宋" w:eastAsia="仿宋_GB2312"/>
                <w:b/>
                <w:bCs/>
                <w:color w:val="000000"/>
                <w:sz w:val="21"/>
                <w:szCs w:val="21"/>
                <w:lang w:eastAsia="zh-CN"/>
              </w:rPr>
              <w:t>门类</w:t>
            </w:r>
          </w:p>
        </w:tc>
        <w:tc>
          <w:tcPr>
            <w:tcW w:w="3073" w:type="dxa"/>
            <w:vMerge w:val="restart"/>
            <w:vAlign w:val="center"/>
          </w:tcPr>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rPr>
              <w:t>招生专业</w:t>
            </w:r>
          </w:p>
        </w:tc>
        <w:tc>
          <w:tcPr>
            <w:tcW w:w="1266" w:type="dxa"/>
            <w:vMerge w:val="restart"/>
            <w:vAlign w:val="center"/>
          </w:tcPr>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rPr>
              <w:t>计划数</w:t>
            </w:r>
          </w:p>
        </w:tc>
        <w:tc>
          <w:tcPr>
            <w:tcW w:w="1842" w:type="dxa"/>
            <w:vMerge w:val="restart"/>
            <w:vAlign w:val="center"/>
          </w:tcPr>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lang w:val="en-US" w:eastAsia="zh-CN"/>
              </w:rPr>
              <w:t>收</w:t>
            </w:r>
            <w:r>
              <w:rPr>
                <w:rFonts w:hint="eastAsia" w:ascii="仿宋_GB2312" w:hAnsi="仿宋" w:eastAsia="仿宋_GB2312"/>
                <w:b/>
                <w:bCs/>
                <w:color w:val="000000"/>
                <w:sz w:val="21"/>
                <w:szCs w:val="21"/>
              </w:rPr>
              <w:t>费</w:t>
            </w:r>
          </w:p>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rPr>
              <w:t>(元/学年)</w:t>
            </w:r>
          </w:p>
        </w:tc>
        <w:tc>
          <w:tcPr>
            <w:tcW w:w="3289" w:type="dxa"/>
            <w:gridSpan w:val="3"/>
            <w:vAlign w:val="center"/>
          </w:tcPr>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lang w:eastAsia="zh-CN"/>
              </w:rPr>
              <w:t>202</w:t>
            </w:r>
            <w:r>
              <w:rPr>
                <w:rFonts w:hint="eastAsia" w:ascii="仿宋_GB2312" w:hAnsi="仿宋" w:eastAsia="仿宋_GB2312"/>
                <w:b/>
                <w:bCs/>
                <w:color w:val="000000"/>
                <w:sz w:val="21"/>
                <w:szCs w:val="21"/>
                <w:lang w:val="en-US" w:eastAsia="zh-CN"/>
              </w:rPr>
              <w:t>1</w:t>
            </w:r>
            <w:r>
              <w:rPr>
                <w:rFonts w:hint="eastAsia" w:ascii="仿宋_GB2312" w:hAnsi="仿宋" w:eastAsia="仿宋_GB2312"/>
                <w:b/>
                <w:bCs/>
                <w:color w:val="000000"/>
                <w:sz w:val="21"/>
                <w:szCs w:val="21"/>
              </w:rPr>
              <w:t>年报考及录取情况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7" w:type="dxa"/>
            <w:vMerge w:val="continue"/>
            <w:vAlign w:val="center"/>
          </w:tcPr>
          <w:p>
            <w:pPr>
              <w:adjustRightInd w:val="0"/>
              <w:snapToGrid w:val="0"/>
              <w:spacing w:line="240" w:lineRule="auto"/>
              <w:jc w:val="center"/>
              <w:rPr>
                <w:rFonts w:hint="eastAsia" w:ascii="仿宋_GB2312" w:hAnsi="仿宋" w:eastAsia="仿宋_GB2312"/>
                <w:b/>
                <w:bCs/>
                <w:color w:val="000000"/>
                <w:sz w:val="21"/>
                <w:szCs w:val="21"/>
              </w:rPr>
            </w:pPr>
          </w:p>
        </w:tc>
        <w:tc>
          <w:tcPr>
            <w:tcW w:w="3073" w:type="dxa"/>
            <w:vMerge w:val="continue"/>
            <w:vAlign w:val="center"/>
          </w:tcPr>
          <w:p>
            <w:pPr>
              <w:adjustRightInd w:val="0"/>
              <w:snapToGrid w:val="0"/>
              <w:spacing w:line="240" w:lineRule="auto"/>
              <w:jc w:val="center"/>
              <w:rPr>
                <w:rFonts w:hint="eastAsia" w:ascii="仿宋_GB2312" w:hAnsi="仿宋" w:eastAsia="仿宋_GB2312"/>
                <w:b/>
                <w:bCs/>
                <w:color w:val="000000"/>
                <w:sz w:val="21"/>
                <w:szCs w:val="21"/>
              </w:rPr>
            </w:pPr>
          </w:p>
        </w:tc>
        <w:tc>
          <w:tcPr>
            <w:tcW w:w="1266" w:type="dxa"/>
            <w:vMerge w:val="continue"/>
          </w:tcPr>
          <w:p>
            <w:pPr>
              <w:adjustRightInd w:val="0"/>
              <w:snapToGrid w:val="0"/>
              <w:spacing w:line="240" w:lineRule="auto"/>
              <w:jc w:val="center"/>
              <w:rPr>
                <w:rFonts w:hint="eastAsia" w:ascii="仿宋_GB2312" w:hAnsi="仿宋" w:eastAsia="仿宋_GB2312"/>
                <w:b/>
                <w:bCs/>
                <w:color w:val="000000"/>
                <w:sz w:val="21"/>
                <w:szCs w:val="21"/>
              </w:rPr>
            </w:pPr>
          </w:p>
        </w:tc>
        <w:tc>
          <w:tcPr>
            <w:tcW w:w="1842" w:type="dxa"/>
            <w:vMerge w:val="continue"/>
          </w:tcPr>
          <w:p>
            <w:pPr>
              <w:adjustRightInd w:val="0"/>
              <w:snapToGrid w:val="0"/>
              <w:spacing w:line="240" w:lineRule="auto"/>
              <w:jc w:val="center"/>
              <w:rPr>
                <w:rFonts w:hint="eastAsia" w:ascii="仿宋_GB2312" w:hAnsi="仿宋" w:eastAsia="仿宋_GB2312"/>
                <w:b/>
                <w:bCs/>
                <w:color w:val="000000"/>
                <w:sz w:val="21"/>
                <w:szCs w:val="21"/>
              </w:rPr>
            </w:pPr>
          </w:p>
        </w:tc>
        <w:tc>
          <w:tcPr>
            <w:tcW w:w="899" w:type="dxa"/>
            <w:vAlign w:val="center"/>
          </w:tcPr>
          <w:p>
            <w:pPr>
              <w:adjustRightInd w:val="0"/>
              <w:snapToGrid w:val="0"/>
              <w:spacing w:line="240" w:lineRule="auto"/>
              <w:jc w:val="center"/>
              <w:rPr>
                <w:rFonts w:hint="eastAsia" w:ascii="仿宋_GB2312" w:hAnsi="仿宋" w:eastAsia="仿宋_GB2312"/>
                <w:b/>
                <w:bCs/>
                <w:color w:val="000000"/>
                <w:sz w:val="21"/>
                <w:szCs w:val="21"/>
                <w:lang w:eastAsia="zh-CN"/>
              </w:rPr>
            </w:pPr>
            <w:r>
              <w:rPr>
                <w:rFonts w:hint="eastAsia" w:ascii="仿宋_GB2312" w:hAnsi="仿宋" w:eastAsia="仿宋_GB2312"/>
                <w:b/>
                <w:bCs/>
                <w:color w:val="000000"/>
                <w:sz w:val="21"/>
                <w:szCs w:val="21"/>
                <w:lang w:eastAsia="zh-CN"/>
              </w:rPr>
              <w:t>计划数</w:t>
            </w:r>
          </w:p>
        </w:tc>
        <w:tc>
          <w:tcPr>
            <w:tcW w:w="932" w:type="dxa"/>
            <w:vAlign w:val="center"/>
          </w:tcPr>
          <w:p>
            <w:pPr>
              <w:adjustRightInd w:val="0"/>
              <w:snapToGrid w:val="0"/>
              <w:spacing w:line="240" w:lineRule="auto"/>
              <w:jc w:val="center"/>
              <w:rPr>
                <w:rFonts w:hint="eastAsia" w:ascii="仿宋_GB2312" w:hAnsi="仿宋" w:eastAsia="仿宋_GB2312"/>
                <w:b/>
                <w:bCs/>
                <w:color w:val="000000"/>
                <w:sz w:val="21"/>
                <w:szCs w:val="21"/>
              </w:rPr>
            </w:pPr>
            <w:r>
              <w:rPr>
                <w:rFonts w:hint="eastAsia" w:ascii="仿宋_GB2312" w:hAnsi="仿宋" w:eastAsia="仿宋_GB2312"/>
                <w:b/>
                <w:bCs/>
                <w:color w:val="000000"/>
                <w:sz w:val="21"/>
                <w:szCs w:val="21"/>
              </w:rPr>
              <w:t>录取数</w:t>
            </w:r>
          </w:p>
        </w:tc>
        <w:tc>
          <w:tcPr>
            <w:tcW w:w="1458" w:type="dxa"/>
            <w:vAlign w:val="center"/>
          </w:tcPr>
          <w:p>
            <w:pPr>
              <w:adjustRightInd w:val="0"/>
              <w:snapToGrid w:val="0"/>
              <w:spacing w:line="240" w:lineRule="auto"/>
              <w:jc w:val="center"/>
              <w:rPr>
                <w:rFonts w:hint="eastAsia" w:ascii="仿宋_GB2312" w:hAnsi="仿宋" w:eastAsia="仿宋_GB2312"/>
                <w:b/>
                <w:bCs/>
                <w:color w:val="000000"/>
                <w:sz w:val="21"/>
                <w:szCs w:val="21"/>
                <w:lang w:eastAsia="zh-CN"/>
              </w:rPr>
            </w:pPr>
            <w:r>
              <w:rPr>
                <w:rFonts w:hint="eastAsia" w:ascii="仿宋_GB2312" w:hAnsi="仿宋" w:eastAsia="仿宋_GB2312"/>
                <w:b/>
                <w:bCs/>
                <w:color w:val="000000"/>
                <w:sz w:val="21"/>
                <w:szCs w:val="21"/>
              </w:rPr>
              <w:t>录取</w:t>
            </w:r>
            <w:r>
              <w:rPr>
                <w:rFonts w:hint="eastAsia" w:ascii="仿宋_GB2312" w:hAnsi="仿宋" w:eastAsia="仿宋_GB2312"/>
                <w:b/>
                <w:bCs/>
                <w:color w:val="000000"/>
                <w:sz w:val="21"/>
                <w:szCs w:val="21"/>
                <w:lang w:eastAsia="zh-CN"/>
              </w:rPr>
              <w:t>最低分（</w:t>
            </w:r>
            <w:r>
              <w:rPr>
                <w:rFonts w:hint="eastAsia" w:ascii="仿宋_GB2312" w:hAnsi="仿宋" w:eastAsia="仿宋_GB2312"/>
                <w:b/>
                <w:bCs/>
                <w:color w:val="000000"/>
                <w:sz w:val="21"/>
                <w:szCs w:val="21"/>
                <w:lang w:val="en-US" w:eastAsia="zh-CN"/>
              </w:rPr>
              <w:t>四</w:t>
            </w:r>
            <w:r>
              <w:rPr>
                <w:rFonts w:hint="eastAsia" w:ascii="仿宋_GB2312" w:hAnsi="仿宋" w:eastAsia="仿宋_GB2312"/>
                <w:b/>
                <w:bCs/>
                <w:color w:val="000000"/>
                <w:sz w:val="21"/>
                <w:szCs w:val="21"/>
                <w:lang w:eastAsia="zh-CN"/>
              </w:rPr>
              <w:t>科总分）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240" w:lineRule="auto"/>
              <w:jc w:val="center"/>
              <w:rPr>
                <w:rFonts w:hint="eastAsia" w:ascii="仿宋_GB2312" w:hAnsi="仿宋" w:eastAsia="仿宋_GB2312"/>
                <w:color w:val="000000"/>
                <w:sz w:val="21"/>
                <w:szCs w:val="21"/>
                <w:lang w:eastAsia="zh-CN"/>
              </w:rPr>
            </w:pPr>
            <w:r>
              <w:rPr>
                <w:rFonts w:hint="eastAsia" w:ascii="仿宋_GB2312" w:hAnsi="仿宋" w:eastAsia="仿宋_GB2312"/>
                <w:color w:val="000000"/>
                <w:sz w:val="21"/>
                <w:szCs w:val="21"/>
                <w:lang w:eastAsia="zh-CN"/>
              </w:rPr>
              <w:t>文学</w:t>
            </w:r>
          </w:p>
        </w:tc>
        <w:tc>
          <w:tcPr>
            <w:tcW w:w="3073"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rPr>
              <w:t>汉语言文学（师范）</w:t>
            </w:r>
          </w:p>
        </w:tc>
        <w:tc>
          <w:tcPr>
            <w:tcW w:w="1266" w:type="dxa"/>
            <w:vMerge w:val="restart"/>
            <w:vAlign w:val="center"/>
          </w:tcPr>
          <w:p>
            <w:pPr>
              <w:adjustRightInd w:val="0"/>
              <w:snapToGrid w:val="0"/>
              <w:spacing w:line="240" w:lineRule="auto"/>
              <w:jc w:val="center"/>
              <w:rPr>
                <w:rFonts w:hint="default" w:ascii="仿宋_GB2312" w:hAnsi="仿宋" w:eastAsia="仿宋_GB2312"/>
                <w:color w:val="000000"/>
                <w:sz w:val="21"/>
                <w:szCs w:val="21"/>
                <w:lang w:val="en-US" w:eastAsia="zh-CN"/>
              </w:rPr>
            </w:pPr>
            <w:r>
              <w:rPr>
                <w:rFonts w:hint="eastAsia" w:ascii="仿宋_GB2312" w:hAnsi="仿宋" w:eastAsia="仿宋_GB2312"/>
                <w:color w:val="000000"/>
                <w:sz w:val="21"/>
                <w:szCs w:val="21"/>
                <w:lang w:val="en-US" w:eastAsia="zh-CN"/>
              </w:rPr>
              <w:t>最终计划以广东省教育考试院公布为准。</w:t>
            </w:r>
          </w:p>
        </w:tc>
        <w:tc>
          <w:tcPr>
            <w:tcW w:w="1842"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lang w:val="en-US" w:eastAsia="zh-CN"/>
              </w:rPr>
              <w:t>学费</w:t>
            </w:r>
            <w:r>
              <w:rPr>
                <w:rFonts w:hint="eastAsia" w:ascii="仿宋_GB2312" w:hAnsi="仿宋" w:eastAsia="仿宋_GB2312"/>
                <w:color w:val="000000"/>
                <w:sz w:val="21"/>
                <w:szCs w:val="21"/>
              </w:rPr>
              <w:t>4590</w:t>
            </w:r>
          </w:p>
          <w:p>
            <w:pPr>
              <w:adjustRightInd w:val="0"/>
              <w:snapToGrid w:val="0"/>
              <w:spacing w:line="240" w:lineRule="auto"/>
              <w:jc w:val="center"/>
              <w:rPr>
                <w:rFonts w:hint="default" w:ascii="仿宋_GB2312" w:hAnsi="仿宋" w:eastAsia="仿宋_GB2312"/>
                <w:color w:val="000000"/>
                <w:sz w:val="21"/>
                <w:szCs w:val="21"/>
                <w:lang w:val="en-US" w:eastAsia="zh-CN"/>
              </w:rPr>
            </w:pPr>
            <w:r>
              <w:rPr>
                <w:rFonts w:hint="eastAsia" w:ascii="仿宋_GB2312" w:hAnsi="仿宋" w:eastAsia="仿宋_GB2312"/>
                <w:color w:val="000000"/>
                <w:sz w:val="21"/>
                <w:szCs w:val="21"/>
                <w:lang w:val="en-US" w:eastAsia="zh-CN"/>
              </w:rPr>
              <w:t>住宿费700-1500</w:t>
            </w:r>
          </w:p>
        </w:tc>
        <w:tc>
          <w:tcPr>
            <w:tcW w:w="899"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99</w:t>
            </w:r>
          </w:p>
        </w:tc>
        <w:tc>
          <w:tcPr>
            <w:tcW w:w="932"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99</w:t>
            </w:r>
          </w:p>
        </w:tc>
        <w:tc>
          <w:tcPr>
            <w:tcW w:w="1458"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27" w:type="dxa"/>
            <w:vAlign w:val="center"/>
          </w:tcPr>
          <w:p>
            <w:pPr>
              <w:adjustRightInd w:val="0"/>
              <w:snapToGrid w:val="0"/>
              <w:spacing w:line="240" w:lineRule="auto"/>
              <w:jc w:val="center"/>
              <w:rPr>
                <w:rFonts w:hint="eastAsia" w:ascii="仿宋_GB2312" w:hAnsi="仿宋" w:eastAsia="仿宋_GB2312"/>
                <w:color w:val="000000"/>
                <w:sz w:val="21"/>
                <w:szCs w:val="21"/>
                <w:lang w:eastAsia="zh-CN"/>
              </w:rPr>
            </w:pPr>
            <w:r>
              <w:rPr>
                <w:rFonts w:hint="eastAsia" w:ascii="仿宋_GB2312" w:hAnsi="仿宋" w:eastAsia="仿宋_GB2312"/>
                <w:color w:val="000000"/>
                <w:sz w:val="21"/>
                <w:szCs w:val="21"/>
                <w:lang w:eastAsia="zh-CN"/>
              </w:rPr>
              <w:t>教育学</w:t>
            </w:r>
          </w:p>
        </w:tc>
        <w:tc>
          <w:tcPr>
            <w:tcW w:w="3073"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rPr>
              <w:t>学前教育（师范）</w:t>
            </w:r>
          </w:p>
        </w:tc>
        <w:tc>
          <w:tcPr>
            <w:tcW w:w="1266" w:type="dxa"/>
            <w:vMerge w:val="continue"/>
            <w:tcBorders/>
            <w:vAlign w:val="center"/>
          </w:tcPr>
          <w:p>
            <w:pPr>
              <w:adjustRightInd w:val="0"/>
              <w:snapToGrid w:val="0"/>
              <w:spacing w:line="240" w:lineRule="auto"/>
              <w:jc w:val="center"/>
              <w:rPr>
                <w:rFonts w:hint="default" w:ascii="仿宋_GB2312" w:hAnsi="仿宋" w:eastAsia="仿宋_GB2312"/>
                <w:color w:val="000000"/>
                <w:sz w:val="21"/>
                <w:szCs w:val="21"/>
                <w:lang w:val="en-US" w:eastAsia="zh-CN"/>
              </w:rPr>
            </w:pPr>
          </w:p>
        </w:tc>
        <w:tc>
          <w:tcPr>
            <w:tcW w:w="1842"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lang w:val="en-US" w:eastAsia="zh-CN"/>
              </w:rPr>
              <w:t>学费</w:t>
            </w:r>
            <w:r>
              <w:rPr>
                <w:rFonts w:hint="eastAsia" w:ascii="仿宋_GB2312" w:hAnsi="仿宋" w:eastAsia="仿宋_GB2312"/>
                <w:color w:val="000000"/>
                <w:sz w:val="21"/>
                <w:szCs w:val="21"/>
              </w:rPr>
              <w:t>4590</w:t>
            </w:r>
          </w:p>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lang w:val="en-US" w:eastAsia="zh-CN"/>
              </w:rPr>
              <w:t>住宿费700-1500</w:t>
            </w:r>
          </w:p>
        </w:tc>
        <w:tc>
          <w:tcPr>
            <w:tcW w:w="899"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60</w:t>
            </w:r>
          </w:p>
        </w:tc>
        <w:tc>
          <w:tcPr>
            <w:tcW w:w="932"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60</w:t>
            </w:r>
          </w:p>
        </w:tc>
        <w:tc>
          <w:tcPr>
            <w:tcW w:w="1458"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jc w:val="center"/>
        </w:trPr>
        <w:tc>
          <w:tcPr>
            <w:tcW w:w="927" w:type="dxa"/>
            <w:vAlign w:val="center"/>
          </w:tcPr>
          <w:p>
            <w:pPr>
              <w:adjustRightInd w:val="0"/>
              <w:snapToGrid w:val="0"/>
              <w:spacing w:line="240" w:lineRule="auto"/>
              <w:jc w:val="center"/>
              <w:rPr>
                <w:rFonts w:hint="eastAsia" w:ascii="仿宋_GB2312" w:hAnsi="仿宋" w:eastAsia="仿宋_GB2312"/>
                <w:color w:val="000000"/>
                <w:sz w:val="21"/>
                <w:szCs w:val="21"/>
                <w:lang w:val="en-US" w:eastAsia="zh-CN"/>
              </w:rPr>
            </w:pPr>
            <w:r>
              <w:rPr>
                <w:rFonts w:hint="eastAsia" w:ascii="仿宋_GB2312" w:hAnsi="仿宋" w:eastAsia="仿宋_GB2312"/>
                <w:color w:val="000000"/>
                <w:sz w:val="21"/>
                <w:szCs w:val="21"/>
                <w:lang w:eastAsia="zh-CN"/>
              </w:rPr>
              <w:t>经济学</w:t>
            </w:r>
          </w:p>
        </w:tc>
        <w:tc>
          <w:tcPr>
            <w:tcW w:w="3073"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rPr>
              <w:t>国际经济与贸易</w:t>
            </w:r>
          </w:p>
          <w:p>
            <w:pPr>
              <w:adjustRightInd w:val="0"/>
              <w:snapToGrid w:val="0"/>
              <w:spacing w:line="240" w:lineRule="auto"/>
              <w:jc w:val="center"/>
              <w:rPr>
                <w:rFonts w:hint="eastAsia" w:ascii="仿宋_GB2312" w:hAnsi="仿宋" w:eastAsia="仿宋_GB2312"/>
                <w:color w:val="000000"/>
                <w:sz w:val="21"/>
                <w:szCs w:val="21"/>
                <w:lang w:val="en-US" w:eastAsia="zh-CN"/>
              </w:rPr>
            </w:pPr>
            <w:r>
              <w:rPr>
                <w:rFonts w:hint="eastAsia" w:ascii="仿宋_GB2312" w:hAnsi="仿宋" w:eastAsia="仿宋_GB2312"/>
                <w:color w:val="000000"/>
                <w:sz w:val="21"/>
                <w:szCs w:val="21"/>
                <w:lang w:eastAsia="zh-CN"/>
              </w:rPr>
              <w:t>教学点：广东科学技术职业学院（珠海校区）</w:t>
            </w:r>
          </w:p>
        </w:tc>
        <w:tc>
          <w:tcPr>
            <w:tcW w:w="1266" w:type="dxa"/>
            <w:vMerge w:val="continue"/>
            <w:tcBorders/>
            <w:vAlign w:val="center"/>
          </w:tcPr>
          <w:p>
            <w:pPr>
              <w:adjustRightInd w:val="0"/>
              <w:snapToGrid w:val="0"/>
              <w:spacing w:line="240" w:lineRule="auto"/>
              <w:jc w:val="center"/>
              <w:rPr>
                <w:rFonts w:hint="default" w:ascii="仿宋_GB2312" w:hAnsi="仿宋" w:eastAsia="仿宋_GB2312"/>
                <w:color w:val="000000"/>
                <w:sz w:val="21"/>
                <w:szCs w:val="21"/>
                <w:lang w:val="en-US" w:eastAsia="zh-CN"/>
              </w:rPr>
            </w:pPr>
          </w:p>
        </w:tc>
        <w:tc>
          <w:tcPr>
            <w:tcW w:w="1842" w:type="dxa"/>
            <w:vAlign w:val="center"/>
          </w:tcPr>
          <w:p>
            <w:pPr>
              <w:adjustRightInd w:val="0"/>
              <w:snapToGrid w:val="0"/>
              <w:spacing w:line="240" w:lineRule="auto"/>
              <w:jc w:val="center"/>
              <w:rPr>
                <w:rFonts w:hint="eastAsia" w:ascii="仿宋_GB2312" w:hAnsi="仿宋" w:eastAsia="仿宋_GB2312"/>
                <w:color w:val="000000"/>
                <w:sz w:val="21"/>
                <w:szCs w:val="21"/>
              </w:rPr>
            </w:pPr>
            <w:r>
              <w:rPr>
                <w:rFonts w:hint="eastAsia" w:ascii="仿宋_GB2312" w:hAnsi="仿宋" w:eastAsia="仿宋_GB2312"/>
                <w:color w:val="000000"/>
                <w:sz w:val="21"/>
                <w:szCs w:val="21"/>
                <w:lang w:val="en-US" w:eastAsia="zh-CN"/>
              </w:rPr>
              <w:t>学费</w:t>
            </w:r>
            <w:r>
              <w:rPr>
                <w:rFonts w:hint="eastAsia" w:ascii="仿宋_GB2312" w:hAnsi="仿宋" w:eastAsia="仿宋_GB2312"/>
                <w:color w:val="000000"/>
                <w:sz w:val="21"/>
                <w:szCs w:val="21"/>
              </w:rPr>
              <w:t>4590</w:t>
            </w:r>
          </w:p>
          <w:p>
            <w:pPr>
              <w:adjustRightInd w:val="0"/>
              <w:snapToGrid w:val="0"/>
              <w:spacing w:line="240" w:lineRule="auto"/>
              <w:jc w:val="center"/>
              <w:rPr>
                <w:rFonts w:hint="eastAsia" w:ascii="仿宋_GB2312" w:hAnsi="仿宋" w:eastAsia="仿宋_GB2312"/>
                <w:color w:val="000000"/>
                <w:sz w:val="21"/>
                <w:szCs w:val="21"/>
                <w:lang w:val="en-US" w:eastAsia="zh-CN"/>
              </w:rPr>
            </w:pPr>
            <w:r>
              <w:rPr>
                <w:rFonts w:hint="eastAsia" w:ascii="仿宋_GB2312" w:hAnsi="仿宋" w:eastAsia="仿宋_GB2312"/>
                <w:color w:val="000000"/>
                <w:sz w:val="21"/>
                <w:szCs w:val="21"/>
                <w:lang w:val="en-US" w:eastAsia="zh-CN"/>
              </w:rPr>
              <w:t>住宿费</w:t>
            </w:r>
            <w:r>
              <w:rPr>
                <w:rFonts w:ascii="Times New Roman" w:hAnsi="Times New Roman"/>
                <w:color w:val="000000" w:themeColor="text1"/>
                <w:sz w:val="21"/>
                <w:szCs w:val="21"/>
                <w14:textFill>
                  <w14:solidFill>
                    <w14:schemeClr w14:val="tx1"/>
                  </w14:solidFill>
                </w14:textFill>
              </w:rPr>
              <w:t>1700-1800</w:t>
            </w:r>
          </w:p>
        </w:tc>
        <w:tc>
          <w:tcPr>
            <w:tcW w:w="899"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55</w:t>
            </w:r>
          </w:p>
        </w:tc>
        <w:tc>
          <w:tcPr>
            <w:tcW w:w="932"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55</w:t>
            </w:r>
          </w:p>
        </w:tc>
        <w:tc>
          <w:tcPr>
            <w:tcW w:w="1458" w:type="dxa"/>
            <w:vAlign w:val="center"/>
          </w:tcPr>
          <w:p>
            <w:pPr>
              <w:adjustRightInd w:val="0"/>
              <w:snapToGrid w:val="0"/>
              <w:spacing w:line="550" w:lineRule="exact"/>
              <w:jc w:val="center"/>
              <w:rPr>
                <w:rFonts w:hint="eastAsia" w:ascii="仿宋_GB2312" w:hAnsi="仿宋" w:eastAsia="仿宋_GB2312" w:cs="Times New Roman"/>
                <w:color w:val="000000"/>
                <w:kern w:val="2"/>
                <w:sz w:val="21"/>
                <w:szCs w:val="21"/>
                <w:lang w:val="en-US" w:eastAsia="zh-CN" w:bidi="ar-SA"/>
              </w:rPr>
            </w:pPr>
            <w:r>
              <w:rPr>
                <w:rFonts w:hint="eastAsia" w:ascii="仿宋_GB2312" w:hAnsi="仿宋" w:eastAsia="仿宋_GB2312"/>
                <w:color w:val="000000"/>
                <w:sz w:val="21"/>
                <w:szCs w:val="21"/>
                <w:lang w:val="en-US" w:eastAsia="zh-CN"/>
              </w:rPr>
              <w:t>328</w:t>
            </w:r>
          </w:p>
        </w:tc>
      </w:tr>
    </w:tbl>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四、准考证的领取</w:t>
      </w:r>
    </w:p>
    <w:p>
      <w:pPr>
        <w:pStyle w:val="4"/>
        <w:pageBreakBefore w:val="0"/>
        <w:kinsoku/>
        <w:wordWrap/>
        <w:overflowPunct/>
        <w:topLinePunct w:val="0"/>
        <w:autoSpaceDE/>
        <w:autoSpaceDN/>
        <w:bidi w:val="0"/>
        <w:spacing w:line="550" w:lineRule="exact"/>
        <w:ind w:firstLine="640" w:firstLineChars="200"/>
        <w:textAlignment w:val="auto"/>
        <w:rPr>
          <w:rFonts w:hint="eastAsia" w:ascii="黑体" w:hAnsi="黑体" w:eastAsia="黑体"/>
          <w:color w:val="auto"/>
          <w:sz w:val="32"/>
          <w:szCs w:val="32"/>
          <w:highlight w:val="none"/>
        </w:rPr>
      </w:pPr>
      <w:r>
        <w:rPr>
          <w:rFonts w:hint="eastAsia" w:ascii="仿宋_GB2312" w:hAnsi="宋体" w:eastAsia="仿宋_GB2312"/>
          <w:color w:val="auto"/>
          <w:sz w:val="32"/>
          <w:szCs w:val="32"/>
          <w:highlight w:val="none"/>
          <w:lang w:val="en-US" w:eastAsia="zh-CN"/>
        </w:rPr>
        <w:t>考生在广东省教育考试院规定时间内自行登录报名系统打印准考证。</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lang w:eastAsia="zh-CN"/>
        </w:rPr>
        <w:t>、考试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考试科目为四门，总分共500分。其中《政治理论》、《英语》和《专业基础课》满分各为100分，每科考试时间为120分钟；《专业综合课》满分为200分，考试时间为150分钟。考试形式一律为闭卷考试。考试科目及考试地点具体安排见《准考证》。</w:t>
      </w:r>
    </w:p>
    <w:p>
      <w:pPr>
        <w:pageBreakBefore w:val="0"/>
        <w:kinsoku/>
        <w:wordWrap/>
        <w:overflowPunct/>
        <w:topLinePunct w:val="0"/>
        <w:autoSpaceDE/>
        <w:autoSpaceDN/>
        <w:bidi w:val="0"/>
        <w:adjustRightInd w:val="0"/>
        <w:spacing w:line="550" w:lineRule="exact"/>
        <w:ind w:firstLine="640" w:firstLineChars="200"/>
        <w:jc w:val="left"/>
        <w:textAlignment w:val="auto"/>
        <w:rPr>
          <w:rFonts w:hint="eastAsia" w:ascii="仿宋_GB2312" w:hAnsi="仿宋" w:eastAsia="仿宋_GB2312"/>
          <w:b w:val="0"/>
          <w:bCs/>
          <w:color w:val="auto"/>
          <w:sz w:val="32"/>
          <w:szCs w:val="32"/>
        </w:rPr>
      </w:pP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lang w:val="en-US" w:eastAsia="zh-CN"/>
        </w:rPr>
        <w:t>1</w:t>
      </w:r>
      <w:r>
        <w:rPr>
          <w:rFonts w:hint="eastAsia" w:ascii="仿宋_GB2312" w:hAnsi="仿宋" w:eastAsia="仿宋_GB2312"/>
          <w:b w:val="0"/>
          <w:bCs/>
          <w:color w:val="auto"/>
          <w:sz w:val="32"/>
          <w:szCs w:val="32"/>
          <w:lang w:eastAsia="zh-CN"/>
        </w:rPr>
        <w:t>）</w:t>
      </w:r>
      <w:r>
        <w:rPr>
          <w:rFonts w:hint="eastAsia" w:ascii="仿宋_GB2312" w:hAnsi="仿宋" w:eastAsia="仿宋_GB2312"/>
          <w:b w:val="0"/>
          <w:bCs/>
          <w:color w:val="auto"/>
          <w:sz w:val="32"/>
          <w:szCs w:val="32"/>
        </w:rPr>
        <w:t>广东省202</w:t>
      </w:r>
      <w:r>
        <w:rPr>
          <w:rFonts w:hint="eastAsia" w:ascii="仿宋_GB2312" w:hAnsi="仿宋" w:eastAsia="仿宋_GB2312"/>
          <w:b w:val="0"/>
          <w:bCs/>
          <w:color w:val="auto"/>
          <w:sz w:val="32"/>
          <w:szCs w:val="32"/>
          <w:lang w:val="en-US" w:eastAsia="zh-CN"/>
        </w:rPr>
        <w:t>2</w:t>
      </w:r>
      <w:r>
        <w:rPr>
          <w:rFonts w:hint="eastAsia" w:ascii="仿宋_GB2312" w:hAnsi="仿宋" w:eastAsia="仿宋_GB2312"/>
          <w:b w:val="0"/>
          <w:bCs/>
          <w:color w:val="auto"/>
          <w:sz w:val="32"/>
          <w:szCs w:val="32"/>
        </w:rPr>
        <w:t>年</w:t>
      </w:r>
      <w:r>
        <w:rPr>
          <w:rFonts w:hint="eastAsia" w:ascii="仿宋_GB2312" w:hAnsi="仿宋" w:eastAsia="仿宋_GB2312"/>
          <w:b w:val="0"/>
          <w:bCs/>
          <w:color w:val="auto"/>
          <w:sz w:val="32"/>
          <w:szCs w:val="32"/>
          <w:lang w:eastAsia="zh-CN"/>
        </w:rPr>
        <w:t>普通专升本</w:t>
      </w:r>
      <w:r>
        <w:rPr>
          <w:rFonts w:hint="eastAsia" w:ascii="仿宋_GB2312" w:hAnsi="仿宋" w:eastAsia="仿宋_GB2312"/>
          <w:b w:val="0"/>
          <w:bCs/>
          <w:color w:val="auto"/>
          <w:sz w:val="32"/>
          <w:szCs w:val="32"/>
        </w:rPr>
        <w:t>招生考试时间表（北京时间）</w:t>
      </w:r>
    </w:p>
    <w:tbl>
      <w:tblPr>
        <w:tblStyle w:val="9"/>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774"/>
        <w:gridCol w:w="1713"/>
        <w:gridCol w:w="182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1"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ind w:firstLine="480" w:firstLineChars="200"/>
              <w:jc w:val="center"/>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 xml:space="preserve">   项目     </w:t>
            </w:r>
          </w:p>
          <w:p>
            <w:pPr>
              <w:pageBreakBefore w:val="0"/>
              <w:kinsoku/>
              <w:wordWrap/>
              <w:overflowPunct/>
              <w:topLinePunct w:val="0"/>
              <w:autoSpaceDE/>
              <w:autoSpaceDN/>
              <w:bidi w:val="0"/>
              <w:adjustRightInd w:val="0"/>
              <w:snapToGrid w:val="0"/>
              <w:spacing w:line="550" w:lineRule="exact"/>
              <w:ind w:firstLine="480" w:firstLineChars="200"/>
              <w:textAlignment w:val="auto"/>
              <w:rPr>
                <w:rFonts w:hint="eastAsia" w:ascii="仿宋_GB2312" w:hAnsi="仿宋" w:eastAsia="仿宋_GB2312"/>
                <w:b w:val="0"/>
                <w:bCs/>
                <w:color w:val="auto"/>
                <w:sz w:val="24"/>
                <w:szCs w:val="24"/>
              </w:rPr>
            </w:pPr>
            <w:r>
              <w:rPr>
                <w:rFonts w:hint="eastAsia" w:ascii="黑体" w:hAnsi="黑体" w:eastAsia="黑体"/>
                <w:b w:val="0"/>
                <w:bCs/>
                <w:color w:val="auto"/>
                <w:sz w:val="24"/>
                <w:szCs w:val="24"/>
              </w:rPr>
              <w:t>日期</w:t>
            </w:r>
          </w:p>
        </w:tc>
        <w:tc>
          <w:tcPr>
            <w:tcW w:w="3487"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上午</w:t>
            </w:r>
          </w:p>
        </w:tc>
        <w:tc>
          <w:tcPr>
            <w:tcW w:w="3380"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val="0"/>
              <w:spacing w:line="550" w:lineRule="exact"/>
              <w:ind w:firstLine="480" w:firstLineChars="200"/>
              <w:jc w:val="left"/>
              <w:textAlignment w:val="auto"/>
              <w:rPr>
                <w:rFonts w:hint="eastAsia" w:ascii="仿宋_GB2312" w:hAnsi="仿宋" w:eastAsia="仿宋_GB2312"/>
                <w:b w:val="0"/>
                <w:bCs/>
                <w:color w:val="auto"/>
                <w:sz w:val="24"/>
                <w:szCs w:val="24"/>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ind w:firstLine="480" w:firstLineChars="200"/>
              <w:jc w:val="both"/>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时间</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ind w:firstLine="480" w:firstLineChars="200"/>
              <w:jc w:val="both"/>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科目</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ind w:firstLine="480" w:firstLineChars="200"/>
              <w:jc w:val="both"/>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adjustRightInd w:val="0"/>
              <w:snapToGrid w:val="0"/>
              <w:spacing w:line="550" w:lineRule="exact"/>
              <w:ind w:firstLine="480" w:firstLineChars="200"/>
              <w:jc w:val="both"/>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000000"/>
                <w:sz w:val="24"/>
              </w:rPr>
            </w:pPr>
            <w:r>
              <w:rPr>
                <w:rFonts w:hint="eastAsia" w:ascii="仿宋_GB2312" w:hAnsi="仿宋" w:eastAsia="仿宋_GB2312"/>
                <w:b w:val="0"/>
                <w:bCs/>
                <w:color w:val="000000"/>
                <w:sz w:val="24"/>
              </w:rPr>
              <w:t>3月26日</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hAnsi="仿宋" w:eastAsia="仿宋_GB2312"/>
                <w:b w:val="0"/>
                <w:bCs/>
                <w:color w:val="auto"/>
                <w:sz w:val="24"/>
                <w:szCs w:val="24"/>
                <w:lang w:eastAsia="zh-CN"/>
              </w:rPr>
            </w:pPr>
            <w:r>
              <w:rPr>
                <w:rFonts w:hint="eastAsia" w:ascii="仿宋_GB2312" w:hAnsi="仿宋" w:eastAsia="仿宋_GB2312"/>
                <w:b w:val="0"/>
                <w:bCs/>
                <w:color w:val="auto"/>
                <w:sz w:val="24"/>
                <w:szCs w:val="24"/>
                <w:lang w:eastAsia="zh-CN"/>
              </w:rPr>
              <w:t>（</w:t>
            </w:r>
            <w:r>
              <w:rPr>
                <w:rFonts w:hint="eastAsia" w:ascii="仿宋_GB2312" w:hAnsi="仿宋" w:eastAsia="仿宋_GB2312"/>
                <w:b w:val="0"/>
                <w:bCs/>
                <w:color w:val="auto"/>
                <w:sz w:val="24"/>
                <w:szCs w:val="24"/>
                <w:lang w:val="en-US" w:eastAsia="zh-CN"/>
              </w:rPr>
              <w:t>省指定考点</w:t>
            </w:r>
            <w:r>
              <w:rPr>
                <w:rFonts w:hint="eastAsia" w:ascii="仿宋_GB2312" w:hAnsi="仿宋" w:eastAsia="仿宋_GB2312"/>
                <w:b w:val="0"/>
                <w:bCs/>
                <w:color w:val="auto"/>
                <w:sz w:val="24"/>
                <w:szCs w:val="24"/>
                <w:lang w:eastAsia="zh-CN"/>
              </w:rPr>
              <w:t>）</w:t>
            </w: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8:00-10:00</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政治理论</w:t>
            </w:r>
          </w:p>
        </w:tc>
        <w:tc>
          <w:tcPr>
            <w:tcW w:w="18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15:00-17:00</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ind w:firstLine="480" w:firstLineChars="200"/>
              <w:jc w:val="left"/>
              <w:textAlignment w:val="auto"/>
              <w:rPr>
                <w:rFonts w:hint="eastAsia" w:ascii="仿宋_GB2312" w:hAnsi="仿宋" w:eastAsia="仿宋_GB2312"/>
                <w:b w:val="0"/>
                <w:bCs/>
                <w:color w:val="auto"/>
                <w:sz w:val="24"/>
                <w:szCs w:val="24"/>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10:30-12:30</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英语</w:t>
            </w:r>
          </w:p>
        </w:tc>
        <w:tc>
          <w:tcPr>
            <w:tcW w:w="18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ind w:firstLine="480" w:firstLineChars="200"/>
              <w:jc w:val="center"/>
              <w:textAlignment w:val="auto"/>
              <w:rPr>
                <w:rFonts w:hint="eastAsia" w:ascii="仿宋_GB2312" w:hAnsi="仿宋" w:eastAsia="仿宋_GB2312"/>
                <w:b w:val="0"/>
                <w:bCs/>
                <w:color w:val="auto"/>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ind w:firstLine="480" w:firstLineChars="200"/>
              <w:jc w:val="center"/>
              <w:textAlignment w:val="auto"/>
              <w:rPr>
                <w:rFonts w:hint="eastAsia" w:ascii="仿宋_GB2312" w:hAnsi="仿宋" w:eastAsia="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000000"/>
                <w:sz w:val="24"/>
              </w:rPr>
            </w:pPr>
            <w:r>
              <w:rPr>
                <w:rFonts w:hint="eastAsia" w:ascii="仿宋_GB2312" w:hAnsi="仿宋" w:eastAsia="仿宋_GB2312"/>
                <w:b w:val="0"/>
                <w:bCs/>
                <w:color w:val="000000"/>
                <w:sz w:val="24"/>
              </w:rPr>
              <w:t xml:space="preserve"> 3月27日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（省指定考点）</w:t>
            </w: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9:00-11:</w:t>
            </w:r>
            <w:r>
              <w:rPr>
                <w:rFonts w:hint="eastAsia" w:ascii="仿宋_GB2312" w:hAnsi="仿宋" w:eastAsia="仿宋_GB2312"/>
                <w:b w:val="0"/>
                <w:bCs/>
                <w:color w:val="auto"/>
                <w:sz w:val="24"/>
                <w:szCs w:val="24"/>
                <w:lang w:val="en-US" w:eastAsia="zh-CN"/>
              </w:rPr>
              <w:t>3</w:t>
            </w:r>
            <w:r>
              <w:rPr>
                <w:rFonts w:hint="eastAsia" w:ascii="仿宋_GB2312" w:hAnsi="仿宋" w:eastAsia="仿宋_GB2312"/>
                <w:b w:val="0"/>
                <w:bCs/>
                <w:color w:val="auto"/>
                <w:sz w:val="24"/>
                <w:szCs w:val="24"/>
              </w:rPr>
              <w:t>0</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lang w:val="en-US" w:eastAsia="zh-CN"/>
              </w:rPr>
              <w:t>专业综合课（省统考）</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auto"/>
                <w:sz w:val="24"/>
                <w:szCs w:val="24"/>
              </w:rPr>
            </w:pPr>
            <w:r>
              <w:rPr>
                <w:rFonts w:hint="eastAsia" w:ascii="仿宋_GB2312" w:hAnsi="仿宋" w:eastAsia="仿宋_GB2312"/>
                <w:b w:val="0"/>
                <w:bCs/>
                <w:color w:val="auto"/>
                <w:sz w:val="24"/>
                <w:szCs w:val="24"/>
              </w:rPr>
              <w:t>15:00-17:</w:t>
            </w:r>
            <w:r>
              <w:rPr>
                <w:rFonts w:hint="eastAsia" w:ascii="仿宋_GB2312" w:hAnsi="仿宋" w:eastAsia="仿宋_GB2312"/>
                <w:b w:val="0"/>
                <w:bCs/>
                <w:color w:val="auto"/>
                <w:sz w:val="24"/>
                <w:szCs w:val="24"/>
                <w:lang w:val="en-US" w:eastAsia="zh-CN"/>
              </w:rPr>
              <w:t>3</w:t>
            </w:r>
            <w:r>
              <w:rPr>
                <w:rFonts w:hint="eastAsia" w:ascii="仿宋_GB2312" w:hAnsi="仿宋" w:eastAsia="仿宋_GB2312"/>
                <w:b w:val="0"/>
                <w:bCs/>
                <w:color w:val="auto"/>
                <w:sz w:val="24"/>
                <w:szCs w:val="24"/>
              </w:rPr>
              <w:t>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 w:eastAsia="仿宋_GB2312"/>
                <w:b w:val="0"/>
                <w:bCs/>
                <w:color w:val="auto"/>
                <w:sz w:val="24"/>
                <w:szCs w:val="24"/>
              </w:rPr>
            </w:pPr>
            <w:r>
              <w:rPr>
                <w:rFonts w:hint="eastAsia" w:ascii="仿宋_GB2312" w:hAnsi="仿宋" w:eastAsia="仿宋_GB2312" w:cs="Times New Roman"/>
                <w:b w:val="0"/>
                <w:bCs/>
                <w:color w:val="auto"/>
                <w:sz w:val="24"/>
                <w:szCs w:val="24"/>
                <w:lang w:val="en-US" w:eastAsia="zh-CN"/>
              </w:rPr>
              <w:t>专业综合课（自命题）</w:t>
            </w:r>
          </w:p>
        </w:tc>
      </w:tr>
    </w:tbl>
    <w:p>
      <w:pPr>
        <w:pageBreakBefore w:val="0"/>
        <w:kinsoku/>
        <w:wordWrap/>
        <w:overflowPunct/>
        <w:topLinePunct w:val="0"/>
        <w:autoSpaceDE/>
        <w:autoSpaceDN/>
        <w:bidi w:val="0"/>
        <w:adjustRightInd w:val="0"/>
        <w:spacing w:line="550" w:lineRule="exact"/>
        <w:ind w:firstLine="640" w:firstLineChars="200"/>
        <w:jc w:val="center"/>
        <w:textAlignment w:val="auto"/>
        <w:rPr>
          <w:rFonts w:hint="eastAsia" w:ascii="仿宋_GB2312" w:hAnsi="仿宋" w:eastAsia="仿宋_GB2312"/>
          <w:b w:val="0"/>
          <w:bCs/>
          <w:color w:val="auto"/>
          <w:sz w:val="32"/>
          <w:szCs w:val="32"/>
          <w:lang w:val="en-US" w:eastAsia="zh-CN"/>
        </w:rPr>
      </w:pPr>
    </w:p>
    <w:p>
      <w:pPr>
        <w:pageBreakBefore w:val="0"/>
        <w:kinsoku/>
        <w:wordWrap/>
        <w:overflowPunct/>
        <w:topLinePunct w:val="0"/>
        <w:autoSpaceDE/>
        <w:autoSpaceDN/>
        <w:bidi w:val="0"/>
        <w:adjustRightInd w:val="0"/>
        <w:spacing w:line="550" w:lineRule="exact"/>
        <w:ind w:firstLine="640" w:firstLineChars="200"/>
        <w:jc w:val="left"/>
        <w:textAlignment w:val="auto"/>
        <w:rPr>
          <w:rFonts w:hint="default" w:ascii="仿宋_GB2312" w:hAnsi="仿宋" w:eastAsia="仿宋_GB2312"/>
          <w:b w:val="0"/>
          <w:bCs/>
          <w:color w:val="auto"/>
          <w:sz w:val="32"/>
          <w:szCs w:val="32"/>
          <w:lang w:val="en-US" w:eastAsia="zh-CN"/>
        </w:rPr>
      </w:pPr>
      <w:r>
        <w:rPr>
          <w:rFonts w:hint="eastAsia" w:ascii="仿宋_GB2312" w:hAnsi="仿宋" w:eastAsia="仿宋_GB2312"/>
          <w:b w:val="0"/>
          <w:bCs/>
          <w:color w:val="auto"/>
          <w:sz w:val="32"/>
          <w:szCs w:val="32"/>
          <w:lang w:val="en-US" w:eastAsia="zh-CN"/>
        </w:rPr>
        <w:t>（2）肇庆学院2022年普通专升本招生专业考试科目</w:t>
      </w:r>
    </w:p>
    <w:tbl>
      <w:tblPr>
        <w:tblStyle w:val="9"/>
        <w:tblpPr w:leftFromText="180" w:rightFromText="180" w:vertAnchor="text" w:horzAnchor="page" w:tblpX="1575" w:tblpY="283"/>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21"/>
        <w:gridCol w:w="1441"/>
        <w:gridCol w:w="2294"/>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2921" w:type="dxa"/>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rPr>
            </w:pPr>
            <w:r>
              <w:rPr>
                <w:rFonts w:hint="eastAsia" w:ascii="黑体" w:hAnsi="黑体" w:eastAsia="黑体"/>
                <w:b w:val="0"/>
                <w:bCs/>
                <w:color w:val="auto"/>
                <w:sz w:val="24"/>
                <w:szCs w:val="24"/>
              </w:rPr>
              <w:t>专业名称</w:t>
            </w:r>
          </w:p>
        </w:tc>
        <w:tc>
          <w:tcPr>
            <w:tcW w:w="1441" w:type="dxa"/>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lang w:eastAsia="zh-CN"/>
              </w:rPr>
            </w:pPr>
            <w:r>
              <w:rPr>
                <w:rFonts w:hint="eastAsia" w:ascii="黑体" w:hAnsi="黑体" w:eastAsia="黑体"/>
                <w:b w:val="0"/>
                <w:bCs/>
                <w:color w:val="auto"/>
                <w:sz w:val="24"/>
                <w:szCs w:val="24"/>
                <w:lang w:eastAsia="zh-CN"/>
              </w:rPr>
              <w:t>公共课</w:t>
            </w:r>
          </w:p>
        </w:tc>
        <w:tc>
          <w:tcPr>
            <w:tcW w:w="2294" w:type="dxa"/>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lang w:eastAsia="zh-CN"/>
              </w:rPr>
            </w:pPr>
            <w:r>
              <w:rPr>
                <w:rFonts w:hint="eastAsia" w:ascii="黑体" w:hAnsi="黑体" w:eastAsia="黑体"/>
                <w:b w:val="0"/>
                <w:bCs/>
                <w:color w:val="auto"/>
                <w:sz w:val="24"/>
                <w:szCs w:val="24"/>
                <w:lang w:eastAsia="zh-CN"/>
              </w:rPr>
              <w:t>专业基础课（</w:t>
            </w:r>
            <w:r>
              <w:rPr>
                <w:rFonts w:hint="eastAsia" w:ascii="黑体" w:hAnsi="黑体" w:eastAsia="黑体"/>
                <w:b w:val="0"/>
                <w:bCs/>
                <w:color w:val="auto"/>
                <w:sz w:val="24"/>
                <w:szCs w:val="24"/>
              </w:rPr>
              <w:t>省统考</w:t>
            </w:r>
            <w:r>
              <w:rPr>
                <w:rFonts w:hint="eastAsia" w:ascii="黑体" w:hAnsi="黑体" w:eastAsia="黑体"/>
                <w:b w:val="0"/>
                <w:bCs/>
                <w:color w:val="auto"/>
                <w:sz w:val="24"/>
                <w:szCs w:val="24"/>
                <w:lang w:eastAsia="zh-CN"/>
              </w:rPr>
              <w:t>）</w:t>
            </w:r>
          </w:p>
        </w:tc>
        <w:tc>
          <w:tcPr>
            <w:tcW w:w="2382" w:type="dxa"/>
            <w:vAlign w:val="center"/>
          </w:tcPr>
          <w:p>
            <w:pPr>
              <w:pageBreakBefore w:val="0"/>
              <w:kinsoku/>
              <w:wordWrap/>
              <w:overflowPunct/>
              <w:topLinePunct w:val="0"/>
              <w:autoSpaceDE/>
              <w:autoSpaceDN/>
              <w:bidi w:val="0"/>
              <w:adjustRightInd w:val="0"/>
              <w:snapToGrid w:val="0"/>
              <w:spacing w:line="550" w:lineRule="exact"/>
              <w:jc w:val="center"/>
              <w:textAlignment w:val="auto"/>
              <w:rPr>
                <w:rFonts w:hint="eastAsia" w:ascii="黑体" w:hAnsi="黑体" w:eastAsia="黑体"/>
                <w:b w:val="0"/>
                <w:bCs/>
                <w:color w:val="auto"/>
                <w:sz w:val="24"/>
                <w:szCs w:val="24"/>
                <w:lang w:eastAsia="zh-CN"/>
              </w:rPr>
            </w:pPr>
            <w:r>
              <w:rPr>
                <w:rFonts w:hint="eastAsia" w:ascii="黑体" w:hAnsi="黑体" w:eastAsia="黑体"/>
                <w:b w:val="0"/>
                <w:bCs/>
                <w:color w:val="auto"/>
                <w:sz w:val="24"/>
                <w:szCs w:val="24"/>
                <w:lang w:eastAsia="zh-CN"/>
              </w:rPr>
              <w:t>专业综合课（</w:t>
            </w:r>
            <w:r>
              <w:rPr>
                <w:rFonts w:hint="eastAsia" w:ascii="黑体" w:hAnsi="黑体" w:eastAsia="黑体"/>
                <w:b w:val="0"/>
                <w:bCs/>
                <w:color w:val="auto"/>
                <w:sz w:val="24"/>
                <w:szCs w:val="24"/>
              </w:rPr>
              <w:t>省统考</w:t>
            </w:r>
            <w:r>
              <w:rPr>
                <w:rFonts w:hint="eastAsia" w:ascii="黑体" w:hAnsi="黑体" w:eastAsia="黑体"/>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29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rPr>
            </w:pPr>
            <w:r>
              <w:rPr>
                <w:rFonts w:hint="eastAsia" w:ascii="仿宋_GB2312" w:hAnsi="仿宋" w:eastAsia="仿宋_GB2312"/>
                <w:color w:val="000000"/>
                <w:sz w:val="24"/>
              </w:rPr>
              <w:t>汉语言文学(师范)</w:t>
            </w:r>
          </w:p>
        </w:tc>
        <w:tc>
          <w:tcPr>
            <w:tcW w:w="144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olor w:val="000000"/>
                <w:sz w:val="24"/>
              </w:rPr>
            </w:pPr>
            <w:r>
              <w:rPr>
                <w:rFonts w:hint="eastAsia" w:ascii="仿宋_GB2312" w:hAnsi="仿宋" w:eastAsia="仿宋_GB2312"/>
                <w:color w:val="000000"/>
                <w:sz w:val="24"/>
              </w:rPr>
              <w:t>1．政治理论</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hAnsi="仿宋" w:eastAsia="仿宋_GB2312"/>
                <w:color w:val="000000"/>
                <w:sz w:val="24"/>
              </w:rPr>
            </w:pPr>
            <w:r>
              <w:rPr>
                <w:rFonts w:hint="eastAsia" w:ascii="仿宋_GB2312" w:hAnsi="仿宋" w:eastAsia="仿宋_GB2312"/>
                <w:color w:val="000000"/>
                <w:sz w:val="24"/>
              </w:rPr>
              <w:t>2．英语</w:t>
            </w:r>
          </w:p>
        </w:tc>
        <w:tc>
          <w:tcPr>
            <w:tcW w:w="229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仿宋_GB2312" w:hAnsi="仿宋" w:eastAsia="仿宋_GB2312"/>
                <w:color w:val="000000"/>
                <w:sz w:val="24"/>
                <w:lang w:val="en-US" w:eastAsia="zh-CN"/>
              </w:rPr>
            </w:pPr>
            <w:r>
              <w:rPr>
                <w:rFonts w:hint="eastAsia" w:ascii="仿宋_GB2312" w:hAnsi="仿宋" w:eastAsia="仿宋_GB2312"/>
                <w:color w:val="000000"/>
                <w:sz w:val="24"/>
              </w:rPr>
              <w:t>大学语文</w:t>
            </w: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eastAsia="zh-CN"/>
              </w:rPr>
            </w:pPr>
            <w:r>
              <w:rPr>
                <w:rFonts w:hint="eastAsia" w:ascii="仿宋_GB2312" w:hAnsi="仿宋" w:eastAsia="仿宋_GB2312"/>
                <w:color w:val="000000"/>
                <w:sz w:val="24"/>
              </w:rPr>
              <w:t>汉语言文学学科基础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9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rPr>
              <w:t>国际经济与贸易</w:t>
            </w:r>
          </w:p>
        </w:tc>
        <w:tc>
          <w:tcPr>
            <w:tcW w:w="14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rPr>
            </w:pPr>
          </w:p>
        </w:tc>
        <w:tc>
          <w:tcPr>
            <w:tcW w:w="229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lang w:eastAsia="zh-CN"/>
              </w:rPr>
              <w:t>经济学</w:t>
            </w: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lang w:eastAsia="zh-CN"/>
              </w:rPr>
              <w:t>国际贸易理论与实务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92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rPr>
              <w:t>学前教育(师范)</w:t>
            </w:r>
          </w:p>
        </w:tc>
        <w:tc>
          <w:tcPr>
            <w:tcW w:w="144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rPr>
            </w:pPr>
          </w:p>
        </w:tc>
        <w:tc>
          <w:tcPr>
            <w:tcW w:w="229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rPr>
              <w:t>教育理论</w:t>
            </w:r>
          </w:p>
        </w:tc>
        <w:tc>
          <w:tcPr>
            <w:tcW w:w="238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学前教育基础</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color w:val="auto"/>
          <w:sz w:val="32"/>
          <w:szCs w:val="32"/>
          <w:lang w:val="en-US" w:eastAsia="zh-CN"/>
        </w:rPr>
      </w:pPr>
      <w:r>
        <w:rPr>
          <w:rFonts w:hint="eastAsia" w:ascii="仿宋_GB2312" w:hAnsi="仿宋" w:eastAsia="仿宋_GB2312" w:cs="Times New Roman"/>
          <w:color w:val="auto"/>
          <w:sz w:val="32"/>
          <w:szCs w:val="32"/>
          <w:lang w:val="en-US" w:eastAsia="zh-CN"/>
        </w:rPr>
        <w:t>我校20</w:t>
      </w:r>
      <w:r>
        <w:rPr>
          <w:rFonts w:hint="eastAsia" w:ascii="仿宋_GB2312" w:hAnsi="仿宋" w:eastAsia="仿宋_GB2312" w:cs="Times New Roman"/>
          <w:b w:val="0"/>
          <w:bCs w:val="0"/>
          <w:color w:val="auto"/>
          <w:sz w:val="32"/>
          <w:szCs w:val="32"/>
          <w:lang w:val="en-US" w:eastAsia="zh-CN"/>
        </w:rPr>
        <w:t>22年普通专升本的全部招生专业</w:t>
      </w:r>
      <w:r>
        <w:rPr>
          <w:rFonts w:hint="eastAsia" w:ascii="仿宋_GB2312" w:hAnsi="仿宋" w:eastAsia="仿宋_GB2312" w:cs="Times New Roman"/>
          <w:b/>
          <w:bCs/>
          <w:color w:val="auto"/>
          <w:sz w:val="32"/>
          <w:szCs w:val="32"/>
          <w:lang w:val="en-US" w:eastAsia="zh-CN"/>
        </w:rPr>
        <w:t>无前置专业的限制</w:t>
      </w:r>
      <w:r>
        <w:rPr>
          <w:rFonts w:hint="eastAsia" w:ascii="仿宋_GB2312" w:hAnsi="仿宋" w:eastAsia="仿宋_GB2312" w:cs="Times New Roman"/>
          <w:b w:val="0"/>
          <w:bCs w:val="0"/>
          <w:color w:val="auto"/>
          <w:sz w:val="32"/>
          <w:szCs w:val="32"/>
          <w:lang w:val="en-US" w:eastAsia="zh-CN"/>
        </w:rPr>
        <w:t>，考生须根据自身能力选择合适的专业报考。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省统考科目的考试要求和考试范围由省教育考试院根据教育部专科升本科同一层次的要求编写确定，并于报名前向社会公布。</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六、志愿填报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（一）实行考后知分填报志愿，普通批设置10个院校专业组志愿，建档立卡批次设置</w:t>
      </w:r>
      <w:r>
        <w:rPr>
          <w:rFonts w:hint="eastAsia" w:ascii="仿宋_GB2312" w:hAnsi="仿宋_GB2312" w:eastAsia="仿宋_GB2312" w:cs="仿宋_GB2312"/>
          <w:color w:val="000000"/>
          <w:sz w:val="32"/>
          <w:szCs w:val="32"/>
        </w:rPr>
        <w:t>5</w:t>
      </w:r>
      <w:r>
        <w:rPr>
          <w:rFonts w:hint="eastAsia" w:ascii="仿宋_GB2312" w:hAnsi="仿宋" w:eastAsia="仿宋_GB2312" w:cs="Times New Roman"/>
          <w:color w:val="auto"/>
          <w:sz w:val="32"/>
          <w:szCs w:val="32"/>
          <w:lang w:val="en-US" w:eastAsia="zh-CN"/>
        </w:rPr>
        <w:t>个院校专业组志愿。每个院校专业组最多可填报4个专业志愿及1个是否服从调剂选项。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（二）考生按自身报考的考试科目组选择相应院校专业组志愿及专业志愿进行填报，</w:t>
      </w:r>
      <w:r>
        <w:rPr>
          <w:rFonts w:hint="eastAsia" w:ascii="仿宋_GB2312" w:hAnsi="仿宋" w:eastAsia="仿宋_GB2312" w:cs="Times New Roman"/>
          <w:strike w:val="0"/>
          <w:color w:val="auto"/>
          <w:sz w:val="32"/>
          <w:szCs w:val="32"/>
          <w:lang w:val="en-US" w:eastAsia="zh-CN"/>
        </w:rPr>
        <w:t>可</w:t>
      </w:r>
      <w:r>
        <w:rPr>
          <w:rFonts w:hint="eastAsia" w:ascii="仿宋_GB2312" w:hAnsi="仿宋" w:eastAsia="仿宋_GB2312" w:cs="Times New Roman"/>
          <w:color w:val="auto"/>
          <w:sz w:val="32"/>
          <w:szCs w:val="32"/>
          <w:lang w:val="en-US" w:eastAsia="zh-CN"/>
        </w:rPr>
        <w:t>同时填报普通批和建档立卡批次中符合条件的院校专业组。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（三）志愿填报具体安排和要求在考试成绩公布后另文通知。</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七、录取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一）由广东省招生委员会根据普通专升本招生计划和考生成绩情况，按照考生类别（职教师资考生、建档立卡考生、普通考生、退役士兵），以及哲学、经济学、法学、教育学、文学、历史学、理学、工学、农学、医学、管理学、艺术学12个学科门类分别划定4科总分和专业综合课的最低录取分数控制线。依据四科总分实行院校专业组平行志愿投档，</w:t>
      </w:r>
      <w:r>
        <w:rPr>
          <w:rFonts w:hint="eastAsia" w:ascii="仿宋_GB2312" w:hAnsi="仿宋" w:eastAsia="仿宋_GB2312" w:cs="Times New Roman"/>
          <w:b/>
          <w:bCs/>
          <w:color w:val="auto"/>
          <w:sz w:val="32"/>
          <w:szCs w:val="32"/>
          <w:lang w:val="en-US" w:eastAsia="zh-CN"/>
        </w:rPr>
        <w:t>考生必须四科总分和专业综合课同时上线才能投档</w:t>
      </w:r>
      <w:r>
        <w:rPr>
          <w:rFonts w:hint="eastAsia" w:ascii="仿宋_GB2312" w:hAnsi="仿宋"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二）省招办投档后，我校按“分数优先，遵循志愿”的原则，排位靠前的考生优先检索，再按考生填报的院校专业组志愿逐个检索。同分点的处理办法：当4科总分（含加分）相同时，依次按照4科总分（不含加分）、专业综合课成绩、专业基础课成绩、政治理论成绩和英语成绩从高到低排序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（三）考生所填报的专业教学点志愿均额满未被录取时，如“服从调剂”，在招生计划尚有空额的前提下，则可调剂到同一院校专业组的其他专业，直至额满为止；考生填“不服从调剂”，则作退档处理。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（四）根据《教育部办公厅关于做好有关高校保送录取世界技能大赛获奖选手工作的通知》（教学厅〔2020〕3号）精神，符合上述相应报考条件的高职应届毕业生，在世界技能组织主办的“世界技能大赛（World Skills Competition）”中获奖的中国国家代表队选手可以保送录取本科层次职业学校和应用型普通本科高校。考生向相关院校提交相关资料申请保送生资格，经院校审核同意后，由院校按规定进行公示，并向省招生办进行备案办理录取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（五）按照教育部相关文件精神，我省将对建档立卡贫困家庭考生按一定比例安排建档立卡考生招生计划，实行计划单列，单独录取。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（六）在正式投档录取结束后，若因上线生源不足、考生不服从专业调剂等原因未完成招生计划的，我校可视情况进行征集志愿录取。录取原则参照本简章第七点（二）条执行。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（七）考生凡持假证明、假文凭等虚假材料报名及冒名顶替考试的，取消考试资格；已被录取的，取消录取资格；已取得学籍的，取消学籍；并追究其法律责任。</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八、入学收费标准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被录取考生入学收费标准按省物价局的规定执行。</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九、在校学习期间的管理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普通专升本学生为国家任务生，秋季入学，全日制脱产学习，由招生学校进行思想政治、专科学历、健康情况复查，经复查未通过的，取消其入学资格；复查合格并经注册后，即成为学校的正式学生，插入本科专业三年级学习，并按插入年级的管理办法进行管理，在校期间不可办理转专业。</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十、毕业与就业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普通专升本学生修完本科教学计划规定的课程，德、智、体考核合格，准予本科毕业，发给本科毕业证书。</w:t>
      </w:r>
      <w:r>
        <w:rPr>
          <w:rFonts w:hint="eastAsia" w:ascii="仿宋_GB2312" w:hAnsi="仿宋" w:eastAsia="仿宋_GB2312"/>
          <w:color w:val="000000"/>
          <w:sz w:val="32"/>
          <w:szCs w:val="32"/>
        </w:rPr>
        <w:t>毕业证书上标注“在本校 XX 专业专科起点本科学习”</w:t>
      </w:r>
      <w:r>
        <w:rPr>
          <w:rFonts w:hint="eastAsia" w:ascii="仿宋_GB2312" w:hAnsi="仿宋"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符合《中华人民共和国学位条例》规定者，授予相应的学士学位。普通专升本学生毕业后的就业办法，与普通高校本科毕业生相同。</w:t>
      </w:r>
    </w:p>
    <w:p>
      <w:pPr>
        <w:pStyle w:val="4"/>
        <w:pageBreakBefore w:val="0"/>
        <w:kinsoku/>
        <w:wordWrap/>
        <w:overflowPunct/>
        <w:topLinePunct w:val="0"/>
        <w:autoSpaceDE/>
        <w:autoSpaceDN/>
        <w:bidi w:val="0"/>
        <w:spacing w:line="550" w:lineRule="exact"/>
        <w:ind w:firstLine="640" w:firstLineChars="200"/>
        <w:textAlignment w:val="auto"/>
        <w:outlineLvl w:val="0"/>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十一、咨询方式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咨询电话：0758-2716043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邮箱地址：zqxyzsb@zqu.edu.cn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招生网址：http://zsb.zqu.edu.cn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QQ在线：168286964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auto"/>
          <w:sz w:val="32"/>
          <w:szCs w:val="32"/>
          <w:lang w:val="en-US" w:eastAsia="zh-CN"/>
        </w:rPr>
        <w:t>监督</w:t>
      </w:r>
      <w:r>
        <w:rPr>
          <w:rFonts w:hint="eastAsia" w:ascii="仿宋_GB2312" w:hAnsi="宋体" w:eastAsia="仿宋_GB2312" w:cs="宋体"/>
          <w:color w:val="000000" w:themeColor="text1"/>
          <w:sz w:val="32"/>
          <w:szCs w:val="32"/>
          <w:lang w:val="en-US" w:eastAsia="zh-CN"/>
          <w14:textFill>
            <w14:solidFill>
              <w14:schemeClr w14:val="tx1"/>
            </w14:solidFill>
          </w14:textFill>
        </w:rPr>
        <w:t>申诉电话：0758-2716246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学校地址：（校本部）肇庆市端州区肇庆大道；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 xml:space="preserve">         （星湖校区）肇庆市端州区星湖大道。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sz w:val="32"/>
          <w:szCs w:val="32"/>
          <w:lang w:val="en-US" w:eastAsia="zh-CN"/>
          <w14:textFill>
            <w14:solidFill>
              <w14:schemeClr w14:val="tx1"/>
            </w14:solidFill>
          </w14:textFill>
        </w:rPr>
      </w:pPr>
    </w:p>
    <w:p>
      <w:pPr>
        <w:pageBreakBefore w:val="0"/>
        <w:kinsoku/>
        <w:wordWrap/>
        <w:overflowPunct/>
        <w:topLinePunct w:val="0"/>
        <w:autoSpaceDE/>
        <w:autoSpaceDN/>
        <w:bidi w:val="0"/>
        <w:spacing w:after="0"/>
        <w:ind w:firstLine="420" w:firstLineChars="200"/>
        <w:jc w:val="both"/>
        <w:textAlignment w:val="auto"/>
        <w:rPr>
          <w:rFonts w:hint="default" w:eastAsia="宋体"/>
          <w:color w:val="auto"/>
          <w:lang w:val="en-US" w:eastAsia="zh-CN"/>
        </w:rPr>
      </w:pPr>
      <w:r>
        <w:rPr>
          <w:rFonts w:hint="eastAsia"/>
          <w:color w:val="auto"/>
        </w:rPr>
        <w:drawing>
          <wp:inline distT="0" distB="0" distL="114300" distR="114300">
            <wp:extent cx="2066290" cy="1811020"/>
            <wp:effectExtent l="0" t="0" r="10160" b="17780"/>
            <wp:docPr id="17" name="图片 16" descr="肇庆学院官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肇庆学院官微二维码"/>
                    <pic:cNvPicPr>
                      <a:picLocks noChangeAspect="1"/>
                    </pic:cNvPicPr>
                  </pic:nvPicPr>
                  <pic:blipFill>
                    <a:blip r:embed="rId5"/>
                    <a:stretch>
                      <a:fillRect/>
                    </a:stretch>
                  </pic:blipFill>
                  <pic:spPr>
                    <a:xfrm>
                      <a:off x="0" y="0"/>
                      <a:ext cx="2066290" cy="1811020"/>
                    </a:xfrm>
                    <a:prstGeom prst="rect">
                      <a:avLst/>
                    </a:prstGeom>
                  </pic:spPr>
                </pic:pic>
              </a:graphicData>
            </a:graphic>
          </wp:inline>
        </w:drawing>
      </w:r>
      <w:r>
        <w:rPr>
          <w:rFonts w:hint="eastAsia"/>
          <w:color w:val="auto"/>
          <w:lang w:val="en-US" w:eastAsia="zh-CN"/>
        </w:rPr>
        <w:t xml:space="preserve">            </w:t>
      </w:r>
      <w:r>
        <w:rPr>
          <w:color w:val="auto"/>
        </w:rPr>
        <w:drawing>
          <wp:inline distT="0" distB="0" distL="114300" distR="114300">
            <wp:extent cx="2134870" cy="1860550"/>
            <wp:effectExtent l="0" t="0" r="17780" b="6350"/>
            <wp:docPr id="19" name="图片 18" descr="肇庆学院招生办微信公众号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肇庆学院招生办微信公众号01"/>
                    <pic:cNvPicPr>
                      <a:picLocks noChangeAspect="1"/>
                    </pic:cNvPicPr>
                  </pic:nvPicPr>
                  <pic:blipFill>
                    <a:blip r:embed="rId6"/>
                    <a:stretch>
                      <a:fillRect/>
                    </a:stretch>
                  </pic:blipFill>
                  <pic:spPr>
                    <a:xfrm>
                      <a:off x="0" y="0"/>
                      <a:ext cx="2134870" cy="1860550"/>
                    </a:xfrm>
                    <a:prstGeom prst="rect">
                      <a:avLst/>
                    </a:prstGeom>
                  </pic:spPr>
                </pic:pic>
              </a:graphicData>
            </a:graphic>
          </wp:inline>
        </w:drawing>
      </w:r>
    </w:p>
    <w:p>
      <w:pPr>
        <w:pageBreakBefore w:val="0"/>
        <w:widowControl/>
        <w:kinsoku/>
        <w:wordWrap/>
        <w:overflowPunct/>
        <w:topLinePunct w:val="0"/>
        <w:autoSpaceDE/>
        <w:autoSpaceDN/>
        <w:bidi w:val="0"/>
        <w:snapToGrid w:val="0"/>
        <w:spacing w:line="240" w:lineRule="auto"/>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仿宋" w:eastAsia="仿宋_GB2312" w:cs="仿宋"/>
          <w:color w:val="auto"/>
          <w:sz w:val="32"/>
          <w:szCs w:val="32"/>
        </w:rPr>
        <w:t xml:space="preserve">肇庆学院微信公众号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招办微信公众号</w:t>
      </w:r>
    </w:p>
    <w:p>
      <w:pPr>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仿宋"/>
          <w:color w:val="auto"/>
          <w:sz w:val="32"/>
          <w:szCs w:val="32"/>
        </w:rPr>
      </w:pPr>
    </w:p>
    <w:p>
      <w:pPr>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附件：</w:t>
      </w:r>
    </w:p>
    <w:p>
      <w:pPr>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1. </w:t>
      </w:r>
      <w:r>
        <w:rPr>
          <w:rFonts w:hint="eastAsia" w:ascii="仿宋_GB2312" w:hAnsi="仿宋" w:eastAsia="仿宋_GB2312"/>
          <w:bCs/>
          <w:sz w:val="32"/>
          <w:szCs w:val="32"/>
        </w:rPr>
        <w:t>广东省202</w:t>
      </w:r>
      <w:r>
        <w:rPr>
          <w:rFonts w:hint="eastAsia" w:ascii="仿宋_GB2312" w:hAnsi="仿宋" w:eastAsia="仿宋_GB2312" w:cs="仿宋"/>
          <w:color w:val="auto"/>
          <w:sz w:val="32"/>
          <w:szCs w:val="32"/>
          <w:lang w:val="en-US" w:eastAsia="zh-CN"/>
        </w:rPr>
        <w:t>2</w:t>
      </w:r>
      <w:r>
        <w:rPr>
          <w:rFonts w:hint="eastAsia" w:ascii="仿宋_GB2312" w:hAnsi="仿宋" w:eastAsia="仿宋_GB2312"/>
          <w:bCs/>
          <w:sz w:val="32"/>
          <w:szCs w:val="32"/>
        </w:rPr>
        <w:t>年普通高等学校专升本(含三二分段专升本转段)招生统一考试考生诚信考试承诺书</w:t>
      </w:r>
    </w:p>
    <w:p>
      <w:pPr>
        <w:pageBreakBefore w:val="0"/>
        <w:kinsoku/>
        <w:wordWrap/>
        <w:overflowPunct/>
        <w:topLinePunct w:val="0"/>
        <w:autoSpaceDE/>
        <w:autoSpaceDN/>
        <w:bidi w:val="0"/>
        <w:snapToGrid w:val="0"/>
        <w:spacing w:line="54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2. 广东省202</w:t>
      </w:r>
      <w:r>
        <w:rPr>
          <w:rFonts w:hint="eastAsia" w:ascii="仿宋_GB2312" w:hAnsi="仿宋" w:eastAsia="仿宋_GB2312" w:cs="仿宋"/>
          <w:color w:val="auto"/>
          <w:sz w:val="32"/>
          <w:szCs w:val="32"/>
          <w:lang w:val="en-US" w:eastAsia="zh-CN"/>
        </w:rPr>
        <w:t>2</w:t>
      </w:r>
      <w:r>
        <w:rPr>
          <w:rFonts w:hint="eastAsia" w:ascii="仿宋_GB2312" w:hAnsi="仿宋" w:eastAsia="仿宋_GB2312"/>
          <w:bCs/>
          <w:sz w:val="32"/>
          <w:szCs w:val="32"/>
        </w:rPr>
        <w:t>年普通高等学校专升本补报资料承诺书</w:t>
      </w:r>
    </w:p>
    <w:p>
      <w:pPr>
        <w:pageBreakBefore w:val="0"/>
        <w:kinsoku/>
        <w:wordWrap/>
        <w:overflowPunct/>
        <w:topLinePunct w:val="0"/>
        <w:autoSpaceDE/>
        <w:autoSpaceDN/>
        <w:bidi w:val="0"/>
        <w:snapToGrid w:val="0"/>
        <w:spacing w:line="540" w:lineRule="exact"/>
        <w:ind w:firstLine="640" w:firstLineChars="200"/>
        <w:textAlignment w:val="auto"/>
        <w:rPr>
          <w:rFonts w:hint="eastAsia" w:ascii="仿宋_GB2312" w:hAnsi="仿宋" w:eastAsia="仿宋_GB2312"/>
          <w:bCs/>
          <w:sz w:val="32"/>
          <w:szCs w:val="32"/>
        </w:rPr>
      </w:pPr>
      <w:r>
        <w:rPr>
          <w:rFonts w:hint="eastAsia" w:ascii="仿宋_GB2312" w:hAnsi="仿宋" w:eastAsia="仿宋_GB2312"/>
          <w:bCs/>
          <w:sz w:val="32"/>
          <w:szCs w:val="32"/>
        </w:rPr>
        <w:t>3.广东省202</w:t>
      </w:r>
      <w:r>
        <w:rPr>
          <w:rFonts w:hint="eastAsia" w:ascii="仿宋_GB2312" w:hAnsi="仿宋" w:eastAsia="仿宋_GB2312" w:cs="仿宋"/>
          <w:color w:val="auto"/>
          <w:sz w:val="32"/>
          <w:szCs w:val="32"/>
          <w:lang w:val="en-US" w:eastAsia="zh-CN"/>
        </w:rPr>
        <w:t>2</w:t>
      </w:r>
      <w:r>
        <w:rPr>
          <w:rFonts w:hint="eastAsia" w:ascii="仿宋_GB2312" w:hAnsi="仿宋" w:eastAsia="仿宋_GB2312"/>
          <w:bCs/>
          <w:sz w:val="32"/>
          <w:szCs w:val="32"/>
        </w:rPr>
        <w:t>年普通高校专升本考生专科毕业学历验证方式</w:t>
      </w:r>
    </w:p>
    <w:p>
      <w:pPr>
        <w:pageBreakBefore w:val="0"/>
        <w:kinsoku/>
        <w:wordWrap/>
        <w:overflowPunct/>
        <w:topLinePunct w:val="0"/>
        <w:autoSpaceDE/>
        <w:autoSpaceDN/>
        <w:bidi w:val="0"/>
        <w:snapToGrid w:val="0"/>
        <w:spacing w:line="540" w:lineRule="exact"/>
        <w:ind w:firstLine="640" w:firstLineChars="200"/>
        <w:textAlignment w:val="auto"/>
        <w:rPr>
          <w:rFonts w:hint="eastAsia" w:ascii="仿宋_GB2312" w:hAnsi="仿宋" w:eastAsia="仿宋_GB2312"/>
          <w:bCs/>
          <w:sz w:val="32"/>
          <w:szCs w:val="32"/>
        </w:rPr>
      </w:pP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w:t>
      </w:r>
      <w:r>
        <w:rPr>
          <w:rFonts w:hint="eastAsia" w:ascii="仿宋_GB2312" w:hAnsi="仿宋" w:eastAsia="仿宋_GB2312"/>
          <w:bCs/>
          <w:sz w:val="32"/>
          <w:szCs w:val="32"/>
        </w:rPr>
        <w:t>广东省202</w:t>
      </w:r>
      <w:r>
        <w:rPr>
          <w:rFonts w:hint="eastAsia" w:ascii="仿宋_GB2312" w:hAnsi="仿宋" w:eastAsia="仿宋_GB2312" w:cs="仿宋"/>
          <w:color w:val="auto"/>
          <w:sz w:val="32"/>
          <w:szCs w:val="32"/>
          <w:lang w:val="en-US" w:eastAsia="zh-CN"/>
        </w:rPr>
        <w:t>2</w:t>
      </w:r>
      <w:r>
        <w:rPr>
          <w:rFonts w:hint="eastAsia" w:ascii="仿宋_GB2312" w:hAnsi="仿宋" w:eastAsia="仿宋_GB2312"/>
          <w:bCs/>
          <w:sz w:val="32"/>
          <w:szCs w:val="32"/>
        </w:rPr>
        <w:t>年普通高校专升本招生体格检查表</w:t>
      </w:r>
    </w:p>
    <w:p>
      <w:pPr>
        <w:pageBreakBefore w:val="0"/>
        <w:kinsoku/>
        <w:wordWrap/>
        <w:overflowPunct/>
        <w:topLinePunct w:val="0"/>
        <w:autoSpaceDE/>
        <w:autoSpaceDN/>
        <w:bidi w:val="0"/>
        <w:snapToGrid w:val="0"/>
        <w:spacing w:line="540" w:lineRule="exact"/>
        <w:ind w:firstLine="640" w:firstLineChars="200"/>
        <w:textAlignment w:val="auto"/>
        <w:rPr>
          <w:rFonts w:hint="eastAsia" w:ascii="仿宋_GB2312" w:hAnsi="仿宋" w:eastAsia="仿宋_GB2312"/>
          <w:bCs/>
          <w:sz w:val="32"/>
          <w:szCs w:val="32"/>
        </w:rPr>
      </w:pP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cs="宋体"/>
          <w:color w:val="auto"/>
          <w:sz w:val="24"/>
        </w:rPr>
      </w:pPr>
    </w:p>
    <w:p>
      <w:pPr>
        <w:keepNext w:val="0"/>
        <w:keepLines w:val="0"/>
        <w:pageBreakBefore w:val="0"/>
        <w:kinsoku/>
        <w:wordWrap/>
        <w:overflowPunct/>
        <w:topLinePunct w:val="0"/>
        <w:autoSpaceDE/>
        <w:autoSpaceDN/>
        <w:bidi w:val="0"/>
        <w:spacing w:line="520" w:lineRule="exact"/>
        <w:ind w:firstLine="6400" w:firstLineChars="20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招生办公室</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宋体" w:hAnsi="宋体" w:cs="宋体"/>
          <w:color w:val="auto"/>
          <w:sz w:val="24"/>
        </w:rPr>
      </w:pPr>
      <w:r>
        <w:rPr>
          <w:rFonts w:hint="eastAsia" w:ascii="仿宋_GB2312" w:hAnsi="宋体" w:eastAsia="仿宋_GB2312"/>
          <w:color w:val="auto"/>
          <w:sz w:val="32"/>
          <w:szCs w:val="32"/>
          <w:lang w:val="en-US" w:eastAsia="zh-CN"/>
        </w:rPr>
        <w:t xml:space="preserve">                                 202</w:t>
      </w:r>
      <w:r>
        <w:rPr>
          <w:rFonts w:hint="eastAsia" w:ascii="仿宋_GB2312" w:hAnsi="仿宋" w:eastAsia="仿宋_GB2312" w:cs="仿宋"/>
          <w:color w:val="auto"/>
          <w:sz w:val="32"/>
          <w:szCs w:val="32"/>
          <w:lang w:val="en-US" w:eastAsia="zh-CN"/>
        </w:rPr>
        <w:t>2</w:t>
      </w:r>
      <w:r>
        <w:rPr>
          <w:rFonts w:hint="eastAsia" w:ascii="仿宋_GB2312" w:hAnsi="宋体" w:eastAsia="仿宋_GB2312"/>
          <w:color w:val="auto"/>
          <w:sz w:val="32"/>
          <w:szCs w:val="32"/>
          <w:lang w:val="en-US" w:eastAsia="zh-CN"/>
        </w:rPr>
        <w:t>年1</w:t>
      </w:r>
      <w:r>
        <w:rPr>
          <w:rFonts w:hint="eastAsia" w:ascii="仿宋_GB2312" w:hAnsi="仿宋" w:eastAsia="仿宋_GB2312" w:cs="仿宋"/>
          <w:color w:val="auto"/>
          <w:sz w:val="32"/>
          <w:szCs w:val="32"/>
          <w:lang w:val="en-US" w:eastAsia="zh-CN"/>
        </w:rPr>
        <w:t>2</w:t>
      </w:r>
      <w:r>
        <w:rPr>
          <w:rFonts w:hint="eastAsia" w:ascii="仿宋_GB2312" w:hAnsi="宋体" w:eastAsia="仿宋_GB2312"/>
          <w:color w:val="auto"/>
          <w:sz w:val="32"/>
          <w:szCs w:val="32"/>
          <w:lang w:val="en-US" w:eastAsia="zh-CN"/>
        </w:rPr>
        <w:t>月24日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sz w:val="32"/>
          <w:szCs w:val="32"/>
        </w:rPr>
      </w:pPr>
      <w:r>
        <w:rPr>
          <w:rFonts w:hint="default" w:ascii="仿宋_GB2312" w:hAnsi="仿宋" w:eastAsia="仿宋_GB2312" w:cs="仿宋"/>
          <w:color w:val="auto"/>
          <w:sz w:val="32"/>
          <w:szCs w:val="32"/>
          <w:lang w:val="en-US" w:eastAsia="zh-CN"/>
        </w:rPr>
        <w:t>附件1：</w:t>
      </w:r>
    </w:p>
    <w:p>
      <w:pPr>
        <w:pageBreakBefore w:val="0"/>
        <w:kinsoku/>
        <w:wordWrap/>
        <w:overflowPunct/>
        <w:topLinePunct w:val="0"/>
        <w:autoSpaceDE/>
        <w:autoSpaceDN/>
        <w:bidi w:val="0"/>
        <w:snapToGrid w:val="0"/>
        <w:spacing w:line="460" w:lineRule="exact"/>
        <w:ind w:firstLine="880" w:firstLineChars="200"/>
        <w:jc w:val="center"/>
        <w:textAlignment w:val="auto"/>
        <w:rPr>
          <w:rFonts w:ascii="方正小标宋简体" w:eastAsia="方正小标宋简体"/>
          <w:color w:val="000000"/>
          <w:sz w:val="44"/>
          <w:szCs w:val="44"/>
        </w:rPr>
      </w:pPr>
      <w:r>
        <w:rPr>
          <w:rFonts w:ascii="方正小标宋简体" w:eastAsia="方正小标宋简体"/>
          <w:color w:val="000000"/>
          <w:sz w:val="44"/>
          <w:szCs w:val="44"/>
        </w:rPr>
        <w:t> 广东省20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2</w:t>
      </w:r>
      <w:r>
        <w:rPr>
          <w:rFonts w:ascii="方正小标宋简体" w:eastAsia="方正小标宋简体"/>
          <w:color w:val="000000"/>
          <w:sz w:val="44"/>
          <w:szCs w:val="44"/>
        </w:rPr>
        <w:t>年</w:t>
      </w:r>
      <w:r>
        <w:rPr>
          <w:rFonts w:hint="eastAsia" w:ascii="方正小标宋简体" w:eastAsia="方正小标宋简体"/>
          <w:color w:val="000000"/>
          <w:sz w:val="44"/>
          <w:szCs w:val="44"/>
        </w:rPr>
        <w:t>普通高等学校专升本</w:t>
      </w:r>
      <w:r>
        <w:rPr>
          <w:rFonts w:ascii="方正小标宋简体" w:eastAsia="方正小标宋简体"/>
          <w:color w:val="000000"/>
          <w:sz w:val="44"/>
          <w:szCs w:val="44"/>
        </w:rPr>
        <w:t>(含三二分段专升本转段)招生统一考试</w:t>
      </w:r>
    </w:p>
    <w:p>
      <w:pPr>
        <w:pageBreakBefore w:val="0"/>
        <w:kinsoku/>
        <w:wordWrap/>
        <w:overflowPunct/>
        <w:topLinePunct w:val="0"/>
        <w:autoSpaceDE/>
        <w:autoSpaceDN/>
        <w:bidi w:val="0"/>
        <w:snapToGrid w:val="0"/>
        <w:spacing w:line="460" w:lineRule="exact"/>
        <w:ind w:firstLine="880" w:firstLineChars="200"/>
        <w:jc w:val="center"/>
        <w:textAlignment w:val="auto"/>
        <w:rPr>
          <w:rFonts w:ascii="方正小标宋简体" w:eastAsia="方正小标宋简体"/>
          <w:color w:val="000000"/>
          <w:sz w:val="44"/>
          <w:szCs w:val="44"/>
        </w:rPr>
      </w:pPr>
      <w:r>
        <w:rPr>
          <w:rFonts w:ascii="方正小标宋简体" w:eastAsia="方正小标宋简体"/>
          <w:color w:val="000000"/>
          <w:sz w:val="44"/>
          <w:szCs w:val="44"/>
        </w:rPr>
        <w:t>考生诚信考试承诺书 </w:t>
      </w:r>
    </w:p>
    <w:p>
      <w:pPr>
        <w:pageBreakBefore w:val="0"/>
        <w:kinsoku/>
        <w:wordWrap/>
        <w:overflowPunct/>
        <w:topLinePunct w:val="0"/>
        <w:autoSpaceDE/>
        <w:autoSpaceDN/>
        <w:bidi w:val="0"/>
        <w:snapToGrid w:val="0"/>
        <w:spacing w:line="460" w:lineRule="exact"/>
        <w:ind w:firstLine="880" w:firstLineChars="200"/>
        <w:jc w:val="center"/>
        <w:textAlignment w:val="auto"/>
        <w:rPr>
          <w:rFonts w:ascii="方正小标宋简体" w:eastAsia="方正小标宋简体"/>
          <w:color w:val="000000"/>
          <w:sz w:val="44"/>
          <w:szCs w:val="44"/>
        </w:rPr>
      </w:pP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本人自愿参加广东省202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年普通高等学校专升本（以下简称普通专升本）招生统一考试，现郑重承诺：</w:t>
      </w:r>
      <w:r>
        <w:rPr>
          <w:rFonts w:hint="eastAsia" w:ascii="仿宋_GB2312" w:eastAsia="仿宋_GB2312" w:cs="Calibri"/>
          <w:color w:val="000000"/>
          <w:sz w:val="32"/>
          <w:szCs w:val="32"/>
        </w:rPr>
        <w:t> </w:t>
      </w: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一、本人已阅读了广东省202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w:t>
      </w:r>
      <w:r>
        <w:rPr>
          <w:rFonts w:hint="eastAsia" w:ascii="仿宋_GB2312" w:eastAsia="仿宋_GB2312" w:cs="Calibri"/>
          <w:color w:val="000000"/>
          <w:sz w:val="32"/>
          <w:szCs w:val="32"/>
        </w:rPr>
        <w:t> </w:t>
      </w: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二、本人坚决遵守广东省202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w:t>
      </w:r>
      <w:r>
        <w:rPr>
          <w:rFonts w:hint="eastAsia" w:ascii="仿宋_GB2312" w:eastAsia="仿宋_GB2312" w:cs="Calibri"/>
          <w:color w:val="000000"/>
          <w:sz w:val="32"/>
          <w:szCs w:val="32"/>
        </w:rPr>
        <w:t> </w:t>
      </w: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三、本人坚决服从考场工作人员和监考教师的管理,自觉遵守考试纪律，考试诚实守信，不违规，不作弊。</w:t>
      </w:r>
      <w:r>
        <w:rPr>
          <w:rFonts w:hint="eastAsia" w:ascii="仿宋_GB2312" w:eastAsia="仿宋_GB2312" w:cs="Calibri"/>
          <w:color w:val="000000"/>
          <w:sz w:val="32"/>
          <w:szCs w:val="32"/>
        </w:rPr>
        <w:t> </w:t>
      </w: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四、本人报名时所提供的个人信息是真实、准确的，如因个人信息错误、失真造成不良后果，责任由本人承担。</w:t>
      </w: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p>
    <w:p>
      <w:pPr>
        <w:pageBreakBefore w:val="0"/>
        <w:kinsoku/>
        <w:wordWrap/>
        <w:overflowPunct/>
        <w:topLinePunct w:val="0"/>
        <w:autoSpaceDE/>
        <w:autoSpaceDN/>
        <w:bidi w:val="0"/>
        <w:snapToGrid w:val="0"/>
        <w:spacing w:line="460" w:lineRule="exact"/>
        <w:ind w:firstLine="640" w:firstLineChars="200"/>
        <w:textAlignment w:val="auto"/>
        <w:rPr>
          <w:rFonts w:hint="eastAsia" w:ascii="仿宋_GB2312" w:hAnsi="仿宋" w:eastAsia="仿宋_GB2312"/>
          <w:color w:val="000000"/>
          <w:sz w:val="32"/>
          <w:szCs w:val="32"/>
        </w:rPr>
      </w:pPr>
    </w:p>
    <w:p>
      <w:pPr>
        <w:pageBreakBefore w:val="0"/>
        <w:kinsoku/>
        <w:wordWrap/>
        <w:overflowPunct/>
        <w:topLinePunct w:val="0"/>
        <w:autoSpaceDE/>
        <w:autoSpaceDN/>
        <w:bidi w:val="0"/>
        <w:snapToGrid w:val="0"/>
        <w:spacing w:line="460" w:lineRule="exact"/>
        <w:ind w:firstLine="640" w:firstLineChars="200"/>
        <w:jc w:val="center"/>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月</w:t>
      </w:r>
      <w:r>
        <w:rPr>
          <w:rFonts w:hint="eastAsia" w:ascii="仿宋_GB2312" w:eastAsia="仿宋_GB2312" w:cs="Calibri"/>
          <w:color w:val="000000"/>
          <w:sz w:val="32"/>
          <w:szCs w:val="32"/>
        </w:rPr>
        <w:t>  </w:t>
      </w:r>
    </w:p>
    <w:p>
      <w:pPr>
        <w:pageBreakBefore w:val="0"/>
        <w:kinsoku/>
        <w:wordWrap/>
        <w:overflowPunct/>
        <w:topLinePunct w:val="0"/>
        <w:autoSpaceDE/>
        <w:autoSpaceDN/>
        <w:bidi w:val="0"/>
        <w:snapToGrid w:val="0"/>
        <w:spacing w:line="460" w:lineRule="exact"/>
        <w:ind w:firstLine="640" w:firstLineChars="200"/>
        <w:jc w:val="center"/>
        <w:textAlignment w:val="auto"/>
      </w:pPr>
      <w:r>
        <w:rPr>
          <w:rFonts w:hint="eastAsia" w:ascii="仿宋_GB2312" w:hAnsi="仿宋" w:eastAsia="仿宋_GB2312"/>
          <w:color w:val="000000"/>
          <w:sz w:val="32"/>
          <w:szCs w:val="32"/>
        </w:rPr>
        <w:t xml:space="preserve">                              广东省教育考试院</w:t>
      </w:r>
      <w:r>
        <w:rPr>
          <w:rFonts w:hint="eastAsia" w:ascii="仿宋_GB2312" w:hAnsi="仿宋" w:eastAsia="仿宋_GB2312"/>
          <w:sz w:val="32"/>
          <w:szCs w:val="32"/>
        </w:rPr>
        <w:t xml:space="preserve">                                 </w:t>
      </w:r>
    </w:p>
    <w:p>
      <w:pPr>
        <w:pageBreakBefore w:val="0"/>
        <w:widowControl/>
        <w:kinsoku/>
        <w:wordWrap/>
        <w:overflowPunct/>
        <w:topLinePunct w:val="0"/>
        <w:autoSpaceDE/>
        <w:autoSpaceDN/>
        <w:bidi w:val="0"/>
        <w:snapToGrid w:val="0"/>
        <w:spacing w:line="560" w:lineRule="exact"/>
        <w:ind w:firstLine="640" w:firstLineChars="200"/>
        <w:jc w:val="left"/>
        <w:textAlignment w:val="auto"/>
        <w:outlineLvl w:val="0"/>
        <w:rPr>
          <w:rFonts w:ascii="黑体" w:hAnsi="黑体" w:eastAsia="黑体"/>
          <w:color w:val="000000"/>
          <w:sz w:val="32"/>
          <w:szCs w:val="32"/>
        </w:rPr>
      </w:pPr>
    </w:p>
    <w:p>
      <w:pPr>
        <w:pageBreakBefore w:val="0"/>
        <w:widowControl/>
        <w:kinsoku/>
        <w:wordWrap/>
        <w:overflowPunct/>
        <w:topLinePunct w:val="0"/>
        <w:autoSpaceDE/>
        <w:autoSpaceDN/>
        <w:bidi w:val="0"/>
        <w:snapToGrid w:val="0"/>
        <w:spacing w:line="560" w:lineRule="exact"/>
        <w:jc w:val="left"/>
        <w:textAlignment w:val="auto"/>
        <w:outlineLvl w:val="0"/>
        <w:rPr>
          <w:rFonts w:ascii="黑体" w:hAnsi="黑体" w:eastAsia="黑体"/>
          <w:color w:val="000000"/>
          <w:sz w:val="32"/>
          <w:szCs w:val="32"/>
        </w:rPr>
      </w:pPr>
    </w:p>
    <w:p>
      <w:pPr>
        <w:pageBreakBefore w:val="0"/>
        <w:widowControl/>
        <w:kinsoku/>
        <w:wordWrap/>
        <w:overflowPunct/>
        <w:topLinePunct w:val="0"/>
        <w:autoSpaceDE/>
        <w:autoSpaceDN/>
        <w:bidi w:val="0"/>
        <w:snapToGrid w:val="0"/>
        <w:spacing w:line="560" w:lineRule="exact"/>
        <w:jc w:val="left"/>
        <w:textAlignment w:val="auto"/>
        <w:outlineLvl w:val="0"/>
        <w:rPr>
          <w:rFonts w:hint="eastAsia" w:ascii="黑体" w:hAnsi="黑体" w:eastAsia="黑体"/>
          <w:color w:val="000000"/>
          <w:sz w:val="32"/>
          <w:szCs w:val="32"/>
          <w:lang w:eastAsia="zh-CN"/>
        </w:rPr>
      </w:pPr>
      <w:r>
        <w:rPr>
          <w:rFonts w:ascii="黑体" w:hAnsi="黑体" w:eastAsia="黑体"/>
          <w:color w:val="000000"/>
          <w:sz w:val="32"/>
          <w:szCs w:val="32"/>
        </w:rPr>
        <w:t>附件</w:t>
      </w:r>
      <w:r>
        <w:rPr>
          <w:rFonts w:hint="eastAsia" w:ascii="黑体" w:hAnsi="黑体" w:eastAsia="黑体"/>
          <w:color w:val="000000"/>
          <w:sz w:val="32"/>
          <w:szCs w:val="32"/>
          <w:lang w:val="en-US" w:eastAsia="zh-CN"/>
        </w:rPr>
        <w:t>2</w:t>
      </w:r>
    </w:p>
    <w:p>
      <w:pPr>
        <w:pageBreakBefore w:val="0"/>
        <w:kinsoku/>
        <w:wordWrap/>
        <w:overflowPunct/>
        <w:topLinePunct w:val="0"/>
        <w:autoSpaceDE/>
        <w:autoSpaceDN/>
        <w:bidi w:val="0"/>
        <w:snapToGrid w:val="0"/>
        <w:spacing w:line="560" w:lineRule="exact"/>
        <w:ind w:firstLine="880" w:firstLineChars="200"/>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广东省202</w:t>
      </w:r>
      <w:r>
        <w:rPr>
          <w:rFonts w:hint="eastAsia" w:ascii="方正小标宋简体" w:eastAsia="方正小标宋简体"/>
          <w:color w:val="000000"/>
          <w:sz w:val="44"/>
          <w:szCs w:val="44"/>
          <w:lang w:val="en-US" w:eastAsia="zh-CN"/>
        </w:rPr>
        <w:t>2</w:t>
      </w:r>
      <w:r>
        <w:rPr>
          <w:rFonts w:hint="eastAsia" w:ascii="方正小标宋简体" w:eastAsia="方正小标宋简体"/>
          <w:color w:val="000000"/>
          <w:sz w:val="44"/>
          <w:szCs w:val="44"/>
        </w:rPr>
        <w:t>年普通高等学校专升本</w:t>
      </w:r>
    </w:p>
    <w:p>
      <w:pPr>
        <w:pageBreakBefore w:val="0"/>
        <w:kinsoku/>
        <w:wordWrap/>
        <w:overflowPunct/>
        <w:topLinePunct w:val="0"/>
        <w:autoSpaceDE/>
        <w:autoSpaceDN/>
        <w:bidi w:val="0"/>
        <w:snapToGrid w:val="0"/>
        <w:spacing w:line="560" w:lineRule="exact"/>
        <w:ind w:firstLine="880" w:firstLineChars="200"/>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补报资料承诺书</w:t>
      </w:r>
    </w:p>
    <w:p>
      <w:pPr>
        <w:pageBreakBefore w:val="0"/>
        <w:kinsoku/>
        <w:wordWrap/>
        <w:overflowPunct/>
        <w:topLinePunct w:val="0"/>
        <w:autoSpaceDE/>
        <w:autoSpaceDN/>
        <w:bidi w:val="0"/>
        <w:snapToGrid w:val="0"/>
        <w:spacing w:line="560" w:lineRule="exact"/>
        <w:ind w:firstLine="640" w:firstLineChars="200"/>
        <w:textAlignment w:val="auto"/>
        <w:rPr>
          <w:rFonts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 w:eastAsia="仿宋_GB2312" w:cs="仿宋"/>
          <w:color w:val="000000"/>
          <w:sz w:val="32"/>
          <w:szCs w:val="32"/>
        </w:rPr>
      </w:pPr>
      <w:r>
        <w:rPr>
          <w:rFonts w:hint="eastAsia" w:ascii="仿宋" w:hAnsi="仿宋" w:eastAsia="仿宋" w:cs="仿宋"/>
          <w:color w:val="000000"/>
          <w:sz w:val="32"/>
          <w:szCs w:val="32"/>
        </w:rPr>
        <w:t xml:space="preserve">  </w:t>
      </w:r>
      <w:r>
        <w:rPr>
          <w:rFonts w:hint="eastAsia" w:ascii="仿宋_GB2312" w:hAnsi="仿宋" w:eastAsia="仿宋_GB2312" w:cs="仿宋"/>
          <w:color w:val="000000"/>
          <w:sz w:val="32"/>
          <w:szCs w:val="32"/>
        </w:rPr>
        <w:t xml:space="preserve">  本人在预报名时，专科学历验证未通过或未能上传相关职业资格技能证书，现郑重承诺：</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一、本</w:t>
      </w:r>
      <w:r>
        <w:rPr>
          <w:rFonts w:hint="eastAsia" w:ascii="仿宋_GB2312" w:hAnsi="仿宋" w:eastAsia="仿宋_GB2312"/>
          <w:color w:val="000000"/>
          <w:sz w:val="32"/>
          <w:szCs w:val="32"/>
        </w:rPr>
        <w:t>人</w:t>
      </w:r>
      <w:r>
        <w:rPr>
          <w:rFonts w:hint="eastAsia" w:ascii="仿宋_GB2312" w:hAnsi="仿宋" w:eastAsia="仿宋_GB2312" w:cs="仿宋"/>
          <w:color w:val="000000"/>
          <w:sz w:val="32"/>
          <w:szCs w:val="32"/>
        </w:rPr>
        <w:t>已阅读了《广东省202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年普通高等学校专升本招生工作规定》的有关政策和规定，承诺按规定在截止日期前，在“广东省202</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年普通高校专升本报名系统”上传中国高等教育学历认证报告（或教育部学历证书电子注册备案表）或中级职业资格技能证书，由审核部门审核报考资格。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二、若本人中国高等教育学历认证报告（或教育部学历证书电子注册备案表）或中级职业资格技能证书审核不通过,或未在截止日期前上传中国高等教育学历认证报告（或教育部学历证书电子注册备案表）或中级职业资格技能证书，同意取消本人这次的报考资格。</w:t>
      </w:r>
    </w:p>
    <w:p>
      <w:pPr>
        <w:keepNext w:val="0"/>
        <w:keepLines w:val="0"/>
        <w:pageBreakBefore w:val="0"/>
        <w:widowControl w:val="0"/>
        <w:tabs>
          <w:tab w:val="left" w:pos="5220"/>
        </w:tabs>
        <w:kinsoku/>
        <w:wordWrap/>
        <w:overflowPunct/>
        <w:topLinePunct w:val="0"/>
        <w:autoSpaceDE/>
        <w:autoSpaceDN/>
        <w:bidi w:val="0"/>
        <w:adjustRightInd/>
        <w:spacing w:line="520" w:lineRule="exact"/>
        <w:ind w:firstLine="0" w:firstLineChars="0"/>
        <w:textAlignment w:val="auto"/>
        <w:rPr>
          <w:rFonts w:hint="eastAsia" w:ascii="黑体" w:eastAsia="黑体"/>
          <w:color w:val="000000"/>
          <w:sz w:val="32"/>
          <w:szCs w:val="32"/>
        </w:rPr>
      </w:pPr>
    </w:p>
    <w:p>
      <w:pPr>
        <w:keepNext w:val="0"/>
        <w:keepLines w:val="0"/>
        <w:pageBreakBefore w:val="0"/>
        <w:widowControl w:val="0"/>
        <w:tabs>
          <w:tab w:val="left" w:pos="5220"/>
        </w:tabs>
        <w:kinsoku/>
        <w:wordWrap/>
        <w:overflowPunct/>
        <w:topLinePunct w:val="0"/>
        <w:autoSpaceDE/>
        <w:autoSpaceDN/>
        <w:bidi w:val="0"/>
        <w:adjustRightInd/>
        <w:spacing w:line="520" w:lineRule="exact"/>
        <w:ind w:firstLine="0" w:firstLineChars="0"/>
        <w:textAlignment w:val="auto"/>
        <w:rPr>
          <w:rFonts w:hint="eastAsia"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_GB2312" w:hAnsi="仿宋" w:eastAsia="仿宋_GB2312"/>
          <w:color w:val="000000"/>
          <w:sz w:val="32"/>
          <w:szCs w:val="32"/>
        </w:rPr>
      </w:pPr>
      <w:r>
        <w:rPr>
          <w:rFonts w:hint="eastAsia" w:ascii="黑体" w:eastAsia="黑体"/>
          <w:color w:val="000000"/>
          <w:sz w:val="32"/>
          <w:szCs w:val="32"/>
        </w:rPr>
        <w:t xml:space="preserve">                                  </w:t>
      </w: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 xml:space="preserve"> 月</w:t>
      </w:r>
      <w:r>
        <w:rPr>
          <w:rFonts w:hint="eastAsia" w:ascii="仿宋_GB2312" w:eastAsia="仿宋_GB2312" w:cs="Calibri"/>
          <w:color w:val="000000"/>
          <w:sz w:val="32"/>
          <w:szCs w:val="32"/>
        </w:rPr>
        <w:t>  </w:t>
      </w:r>
    </w:p>
    <w:p>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color w:val="000000"/>
        </w:rPr>
      </w:pPr>
      <w:r>
        <w:rPr>
          <w:rFonts w:hint="eastAsia" w:ascii="仿宋_GB2312" w:hAnsi="仿宋" w:eastAsia="仿宋_GB2312"/>
          <w:color w:val="000000"/>
          <w:sz w:val="32"/>
          <w:szCs w:val="32"/>
        </w:rPr>
        <w:t xml:space="preserve">                                 广东省教育考试院</w:t>
      </w:r>
    </w:p>
    <w:p>
      <w:pPr>
        <w:pageBreakBefore w:val="0"/>
        <w:tabs>
          <w:tab w:val="left" w:pos="5220"/>
        </w:tabs>
        <w:kinsoku/>
        <w:wordWrap/>
        <w:overflowPunct/>
        <w:topLinePunct w:val="0"/>
        <w:autoSpaceDE/>
        <w:autoSpaceDN/>
        <w:bidi w:val="0"/>
        <w:snapToGrid w:val="0"/>
        <w:spacing w:line="560" w:lineRule="exact"/>
        <w:ind w:firstLine="640" w:firstLineChars="200"/>
        <w:textAlignment w:val="auto"/>
        <w:rPr>
          <w:rFonts w:ascii="黑体" w:eastAsia="黑体"/>
          <w:color w:val="000000"/>
          <w:sz w:val="32"/>
          <w:szCs w:val="32"/>
        </w:rPr>
      </w:pPr>
    </w:p>
    <w:p>
      <w:pPr>
        <w:pageBreakBefore w:val="0"/>
        <w:tabs>
          <w:tab w:val="left" w:pos="5220"/>
        </w:tabs>
        <w:kinsoku/>
        <w:wordWrap/>
        <w:overflowPunct/>
        <w:topLinePunct w:val="0"/>
        <w:autoSpaceDE/>
        <w:autoSpaceDN/>
        <w:bidi w:val="0"/>
        <w:snapToGrid w:val="0"/>
        <w:spacing w:line="560" w:lineRule="exact"/>
        <w:ind w:firstLine="640" w:firstLineChars="200"/>
        <w:textAlignment w:val="auto"/>
        <w:rPr>
          <w:rFonts w:ascii="黑体" w:eastAsia="黑体"/>
          <w:color w:val="000000"/>
          <w:sz w:val="32"/>
          <w:szCs w:val="32"/>
        </w:rPr>
      </w:pPr>
    </w:p>
    <w:p>
      <w:pPr>
        <w:pStyle w:val="2"/>
      </w:pPr>
    </w:p>
    <w:p>
      <w:pPr>
        <w:pageBreakBefore w:val="0"/>
        <w:tabs>
          <w:tab w:val="left" w:pos="5220"/>
        </w:tabs>
        <w:kinsoku/>
        <w:wordWrap/>
        <w:overflowPunct/>
        <w:topLinePunct w:val="0"/>
        <w:autoSpaceDE/>
        <w:autoSpaceDN/>
        <w:bidi w:val="0"/>
        <w:spacing w:line="520" w:lineRule="exact"/>
        <w:textAlignment w:val="auto"/>
        <w:rPr>
          <w:rFonts w:hint="eastAsia" w:ascii="黑体" w:eastAsia="黑体"/>
          <w:color w:val="000000"/>
          <w:sz w:val="32"/>
          <w:szCs w:val="32"/>
        </w:rPr>
      </w:pPr>
    </w:p>
    <w:p>
      <w:pPr>
        <w:pageBreakBefore w:val="0"/>
        <w:tabs>
          <w:tab w:val="left" w:pos="5220"/>
        </w:tabs>
        <w:kinsoku/>
        <w:wordWrap/>
        <w:overflowPunct/>
        <w:topLinePunct w:val="0"/>
        <w:autoSpaceDE/>
        <w:autoSpaceDN/>
        <w:bidi w:val="0"/>
        <w:spacing w:line="520" w:lineRule="exact"/>
        <w:textAlignment w:val="auto"/>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3</w:t>
      </w:r>
    </w:p>
    <w:p>
      <w:pPr>
        <w:pageBreakBefore w:val="0"/>
        <w:kinsoku/>
        <w:wordWrap/>
        <w:overflowPunct/>
        <w:topLinePunct w:val="0"/>
        <w:autoSpaceDE/>
        <w:autoSpaceDN/>
        <w:bidi w:val="0"/>
        <w:spacing w:line="520" w:lineRule="exact"/>
        <w:ind w:firstLine="880" w:firstLineChars="200"/>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广东省202</w:t>
      </w:r>
      <w:r>
        <w:rPr>
          <w:rFonts w:hint="eastAsia" w:ascii="方正小标宋简体" w:eastAsia="方正小标宋简体"/>
          <w:color w:val="000000"/>
          <w:sz w:val="44"/>
          <w:szCs w:val="44"/>
          <w:lang w:val="en-US" w:eastAsia="zh-CN"/>
        </w:rPr>
        <w:t>2</w:t>
      </w:r>
      <w:r>
        <w:rPr>
          <w:rFonts w:hint="eastAsia" w:ascii="方正小标宋简体" w:eastAsia="方正小标宋简体"/>
          <w:color w:val="000000"/>
          <w:sz w:val="44"/>
          <w:szCs w:val="44"/>
        </w:rPr>
        <w:t>年普通高校专升本考生</w:t>
      </w:r>
    </w:p>
    <w:p>
      <w:pPr>
        <w:pageBreakBefore w:val="0"/>
        <w:kinsoku/>
        <w:wordWrap/>
        <w:overflowPunct/>
        <w:topLinePunct w:val="0"/>
        <w:autoSpaceDE/>
        <w:autoSpaceDN/>
        <w:bidi w:val="0"/>
        <w:spacing w:line="520" w:lineRule="exact"/>
        <w:ind w:firstLine="880" w:firstLineChars="200"/>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专科毕业学历验证方式</w:t>
      </w:r>
    </w:p>
    <w:p>
      <w:pPr>
        <w:pageBreakBefore w:val="0"/>
        <w:kinsoku/>
        <w:wordWrap/>
        <w:overflowPunct/>
        <w:topLinePunct w:val="0"/>
        <w:autoSpaceDE/>
        <w:autoSpaceDN/>
        <w:bidi w:val="0"/>
        <w:spacing w:line="520" w:lineRule="exact"/>
        <w:ind w:firstLine="600" w:firstLineChars="200"/>
        <w:textAlignment w:val="auto"/>
        <w:rPr>
          <w:color w:val="000000"/>
          <w:sz w:val="30"/>
          <w:szCs w:val="30"/>
        </w:rPr>
      </w:pPr>
    </w:p>
    <w:p>
      <w:pPr>
        <w:pageBreakBefore w:val="0"/>
        <w:kinsoku/>
        <w:wordWrap/>
        <w:overflowPunct/>
        <w:topLinePunct w:val="0"/>
        <w:autoSpaceDE/>
        <w:autoSpaceDN/>
        <w:bidi w:val="0"/>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一、考生在预报名时自行在广东省普通专升本招生报名系统中验证专科学历。广东省普通专升本网上报名系统（网址：http://</w:t>
      </w:r>
      <w:r>
        <w:rPr>
          <w:rFonts w:hint="eastAsia" w:ascii="仿宋_GB2312" w:hAnsi="仿宋" w:eastAsia="仿宋_GB2312" w:cs="Times New Roman"/>
          <w:color w:val="000000"/>
          <w:sz w:val="32"/>
          <w:szCs w:val="32"/>
        </w:rPr>
        <w:fldChar w:fldCharType="begin"/>
      </w:r>
      <w:r>
        <w:rPr>
          <w:rFonts w:hint="eastAsia" w:ascii="仿宋_GB2312" w:hAnsi="仿宋" w:eastAsia="仿宋_GB2312" w:cs="Times New Roman"/>
          <w:color w:val="000000"/>
          <w:sz w:val="32"/>
          <w:szCs w:val="32"/>
        </w:rPr>
        <w:instrText xml:space="preserve">HYPERLINK "http://www.ecogd.edu.cn/"</w:instrText>
      </w:r>
      <w:r>
        <w:rPr>
          <w:rFonts w:hint="eastAsia" w:ascii="仿宋_GB2312" w:hAnsi="仿宋" w:eastAsia="仿宋_GB2312" w:cs="Times New Roman"/>
          <w:color w:val="000000"/>
          <w:sz w:val="32"/>
          <w:szCs w:val="32"/>
        </w:rPr>
        <w:fldChar w:fldCharType="separate"/>
      </w:r>
      <w:r>
        <w:rPr>
          <w:rFonts w:hint="eastAsia" w:ascii="仿宋_GB2312" w:hAnsi="仿宋" w:eastAsia="仿宋_GB2312" w:cs="Times New Roman"/>
          <w:color w:val="000000"/>
          <w:sz w:val="32"/>
          <w:szCs w:val="32"/>
        </w:rPr>
        <w:t>www.eeagd.edu.cn/</w:t>
      </w:r>
      <w:r>
        <w:rPr>
          <w:rFonts w:hint="eastAsia" w:ascii="仿宋_GB2312" w:hAnsi="仿宋" w:eastAsia="仿宋_GB2312" w:cs="Times New Roman"/>
          <w:color w:val="000000"/>
          <w:sz w:val="32"/>
          <w:szCs w:val="32"/>
        </w:rPr>
        <w:fldChar w:fldCharType="end"/>
      </w:r>
      <w:r>
        <w:rPr>
          <w:rFonts w:hint="eastAsia" w:ascii="仿宋_GB2312" w:hAnsi="仿宋" w:eastAsia="仿宋_GB2312" w:cs="Times New Roman"/>
          <w:color w:val="000000"/>
          <w:sz w:val="32"/>
          <w:szCs w:val="32"/>
        </w:rPr>
        <w:t xml:space="preserve"> ptzsbks）具有“专科学历验证”功能。已取得专科毕业证的考生在预报名过程中可自行进行专科学历验证，由报名系统自动反馈验证结果。该项专科学历验证功能仅限于已取得专科毕业证的考生进行在线学历验证。</w:t>
      </w:r>
    </w:p>
    <w:p>
      <w:pPr>
        <w:pageBreakBefore w:val="0"/>
        <w:kinsoku/>
        <w:wordWrap/>
        <w:overflowPunct/>
        <w:topLinePunct w:val="0"/>
        <w:autoSpaceDE/>
        <w:autoSpaceDN/>
        <w:bidi w:val="0"/>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Pr>
        <w:pageBreakBefore w:val="0"/>
        <w:kinsoku/>
        <w:wordWrap/>
        <w:overflowPunct/>
        <w:topLinePunct w:val="0"/>
        <w:autoSpaceDE/>
        <w:autoSpaceDN/>
        <w:bidi w:val="0"/>
        <w:ind w:firstLine="420" w:firstLineChars="200"/>
        <w:textAlignment w:val="auto"/>
      </w:pPr>
    </w:p>
    <w:p>
      <w:pPr>
        <w:pageBreakBefore w:val="0"/>
        <w:kinsoku/>
        <w:wordWrap/>
        <w:overflowPunct/>
        <w:topLinePunct w:val="0"/>
        <w:autoSpaceDE/>
        <w:autoSpaceDN/>
        <w:bidi w:val="0"/>
        <w:ind w:firstLine="640" w:firstLineChars="200"/>
        <w:textAlignment w:val="auto"/>
        <w:rPr>
          <w:rFonts w:hint="eastAsia" w:ascii="黑体" w:hAnsi="黑体" w:eastAsia="黑体" w:cs="黑体"/>
          <w:color w:val="000000"/>
          <w:sz w:val="32"/>
          <w:szCs w:val="32"/>
        </w:rPr>
      </w:pPr>
    </w:p>
    <w:p>
      <w:pPr>
        <w:pStyle w:val="2"/>
        <w:pageBreakBefore w:val="0"/>
        <w:kinsoku/>
        <w:wordWrap/>
        <w:overflowPunct/>
        <w:topLinePunct w:val="0"/>
        <w:autoSpaceDE/>
        <w:autoSpaceDN/>
        <w:bidi w:val="0"/>
        <w:ind w:firstLine="643" w:firstLineChars="200"/>
        <w:textAlignment w:val="auto"/>
        <w:rPr>
          <w:rFonts w:hint="eastAsia" w:ascii="黑体" w:hAnsi="黑体" w:eastAsia="黑体" w:cs="黑体"/>
          <w:color w:val="000000"/>
          <w:sz w:val="32"/>
          <w:szCs w:val="32"/>
        </w:rPr>
      </w:pPr>
    </w:p>
    <w:p>
      <w:pPr>
        <w:pageBreakBefore w:val="0"/>
        <w:kinsoku/>
        <w:wordWrap/>
        <w:overflowPunct/>
        <w:topLinePunct w:val="0"/>
        <w:autoSpaceDE/>
        <w:autoSpaceDN/>
        <w:bidi w:val="0"/>
        <w:ind w:firstLine="640" w:firstLineChars="200"/>
        <w:textAlignment w:val="auto"/>
        <w:rPr>
          <w:rFonts w:hint="eastAsia" w:ascii="黑体" w:hAnsi="黑体" w:eastAsia="黑体" w:cs="黑体"/>
          <w:color w:val="000000"/>
          <w:sz w:val="32"/>
          <w:szCs w:val="32"/>
        </w:rPr>
      </w:pPr>
    </w:p>
    <w:p>
      <w:pPr>
        <w:pageBreakBefore w:val="0"/>
        <w:kinsoku/>
        <w:wordWrap/>
        <w:overflowPunct/>
        <w:topLinePunct w:val="0"/>
        <w:autoSpaceDE/>
        <w:autoSpaceDN/>
        <w:bidi w:val="0"/>
        <w:ind w:firstLine="640" w:firstLineChars="200"/>
        <w:textAlignment w:val="auto"/>
        <w:rPr>
          <w:rFonts w:hint="eastAsia" w:ascii="黑体" w:hAnsi="黑体" w:eastAsia="黑体" w:cs="黑体"/>
          <w:color w:val="000000"/>
          <w:sz w:val="32"/>
          <w:szCs w:val="32"/>
        </w:rPr>
      </w:pPr>
    </w:p>
    <w:p>
      <w:pPr>
        <w:pageBreakBefore w:val="0"/>
        <w:kinsoku/>
        <w:wordWrap/>
        <w:overflowPunct/>
        <w:topLinePunct w:val="0"/>
        <w:autoSpaceDE/>
        <w:autoSpaceDN/>
        <w:bidi w:val="0"/>
        <w:textAlignment w:val="auto"/>
        <w:rPr>
          <w:rFonts w:hint="eastAsia" w:ascii="黑体" w:hAnsi="黑体" w:eastAsia="黑体" w:cs="黑体"/>
          <w:color w:val="000000"/>
          <w:sz w:val="32"/>
          <w:szCs w:val="32"/>
        </w:rPr>
      </w:pPr>
    </w:p>
    <w:p>
      <w:pPr>
        <w:pageBreakBefore w:val="0"/>
        <w:kinsoku/>
        <w:wordWrap/>
        <w:overflowPunct/>
        <w:topLinePunct w:val="0"/>
        <w:autoSpaceDE/>
        <w:autoSpaceDN/>
        <w:bidi w:val="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pageBreakBefore w:val="0"/>
        <w:tabs>
          <w:tab w:val="left" w:pos="1800"/>
        </w:tabs>
        <w:kinsoku/>
        <w:wordWrap/>
        <w:overflowPunct/>
        <w:topLinePunct w:val="0"/>
        <w:autoSpaceDE/>
        <w:autoSpaceDN/>
        <w:bidi w:val="0"/>
        <w:spacing w:line="560" w:lineRule="exact"/>
        <w:ind w:firstLine="720" w:firstLineChars="200"/>
        <w:jc w:val="center"/>
        <w:textAlignment w:val="auto"/>
        <w:rPr>
          <w:rFonts w:hint="eastAsia" w:ascii="仿宋_GB2312" w:eastAsia="仿宋_GB2312"/>
          <w:color w:val="000000"/>
          <w:sz w:val="36"/>
          <w:szCs w:val="36"/>
        </w:rPr>
      </w:pPr>
      <w:r>
        <w:rPr>
          <w:rFonts w:hint="eastAsia" w:ascii="方正小标宋简体" w:eastAsia="方正小标宋简体"/>
          <w:color w:val="000000"/>
          <w:sz w:val="36"/>
          <w:szCs w:val="36"/>
        </w:rPr>
        <w:t>广东省202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年普通高校专升本招生体格检查表</w:t>
      </w:r>
    </w:p>
    <w:p>
      <w:pPr>
        <w:pageBreakBefore w:val="0"/>
        <w:kinsoku/>
        <w:wordWrap/>
        <w:overflowPunct/>
        <w:topLinePunct w:val="0"/>
        <w:autoSpaceDE/>
        <w:autoSpaceDN/>
        <w:bidi w:val="0"/>
        <w:spacing w:line="240" w:lineRule="exact"/>
        <w:ind w:firstLine="482" w:firstLineChars="200"/>
        <w:jc w:val="center"/>
        <w:textAlignment w:val="auto"/>
        <w:rPr>
          <w:rFonts w:hint="eastAsia" w:ascii="仿宋_GB2312" w:eastAsia="仿宋_GB2312"/>
          <w:color w:val="000000"/>
          <w:sz w:val="24"/>
        </w:rPr>
      </w:pPr>
      <w:r>
        <w:rPr>
          <w:rFonts w:hint="eastAsia" w:ascii="仿宋_GB2312" w:eastAsia="仿宋_GB2312"/>
          <w:b/>
          <w:color w:val="000000"/>
          <w:sz w:val="24"/>
        </w:rPr>
        <w:t xml:space="preserve">   </w:t>
      </w:r>
      <w:r>
        <w:rPr>
          <w:rFonts w:hint="eastAsia" w:ascii="仿宋_GB2312" w:eastAsia="仿宋_GB2312"/>
          <w:color w:val="000000"/>
          <w:sz w:val="24"/>
        </w:rPr>
        <w:t xml:space="preserve">                                      </w:t>
      </w:r>
    </w:p>
    <w:p>
      <w:pPr>
        <w:pageBreakBefore w:val="0"/>
        <w:kinsoku/>
        <w:wordWrap/>
        <w:overflowPunct/>
        <w:topLinePunct w:val="0"/>
        <w:autoSpaceDE/>
        <w:autoSpaceDN/>
        <w:bidi w:val="0"/>
        <w:ind w:firstLine="480" w:firstLineChars="200"/>
        <w:jc w:val="center"/>
        <w:textAlignment w:val="auto"/>
        <w:rPr>
          <w:rFonts w:hint="eastAsia" w:ascii="仿宋_GB2312" w:eastAsia="仿宋_GB2312"/>
          <w:color w:val="000000"/>
          <w:sz w:val="24"/>
          <w:u w:val="single"/>
        </w:rPr>
      </w:pPr>
      <w:r>
        <w:rPr>
          <w:rFonts w:hint="eastAsia" w:ascii="仿宋_GB2312" w:eastAsia="仿宋_GB2312"/>
          <w:color w:val="000000"/>
          <w:sz w:val="24"/>
        </w:rPr>
        <w:t xml:space="preserve">                                        准考证号：</w:t>
      </w:r>
      <w:r>
        <w:rPr>
          <w:rFonts w:hint="eastAsia" w:ascii="仿宋_GB2312" w:eastAsia="仿宋_GB2312"/>
          <w:color w:val="000000"/>
          <w:sz w:val="24"/>
          <w:u w:val="single"/>
        </w:rPr>
        <w:t xml:space="preserve">                </w:t>
      </w:r>
    </w:p>
    <w:p>
      <w:pPr>
        <w:pageBreakBefore w:val="0"/>
        <w:kinsoku/>
        <w:wordWrap/>
        <w:overflowPunct/>
        <w:topLinePunct w:val="0"/>
        <w:autoSpaceDE/>
        <w:autoSpaceDN/>
        <w:bidi w:val="0"/>
        <w:ind w:firstLine="480" w:firstLineChars="200"/>
        <w:jc w:val="center"/>
        <w:textAlignment w:val="auto"/>
        <w:rPr>
          <w:rFonts w:hint="eastAsia" w:ascii="仿宋_GB2312" w:eastAsia="仿宋_GB2312"/>
          <w:color w:val="000000"/>
          <w:sz w:val="24"/>
          <w:u w:val="single"/>
        </w:rPr>
      </w:pPr>
    </w:p>
    <w:p>
      <w:pPr>
        <w:pageBreakBefore w:val="0"/>
        <w:kinsoku/>
        <w:wordWrap/>
        <w:overflowPunct/>
        <w:topLinePunct w:val="0"/>
        <w:autoSpaceDE/>
        <w:autoSpaceDN/>
        <w:bidi w:val="0"/>
        <w:textAlignment w:val="auto"/>
        <w:rPr>
          <w:rFonts w:hint="eastAsia" w:ascii="仿宋_GB2312" w:eastAsia="仿宋_GB2312"/>
          <w:color w:val="000000"/>
          <w:sz w:val="24"/>
          <w:u w:val="single"/>
        </w:rPr>
      </w:pPr>
      <w:r>
        <w:rPr>
          <w:rFonts w:hint="eastAsia" w:ascii="仿宋_GB2312" w:eastAsia="仿宋_GB2312"/>
          <w:color w:val="000000"/>
          <w:sz w:val="24"/>
        </w:rPr>
        <w:t>市</w:t>
      </w:r>
      <w:r>
        <w:rPr>
          <w:rFonts w:hint="eastAsia" w:ascii="仿宋_GB2312" w:eastAsia="仿宋_GB2312"/>
          <w:color w:val="000000"/>
          <w:sz w:val="24"/>
          <w:u w:val="single"/>
        </w:rPr>
        <w:t xml:space="preserve">              </w:t>
      </w:r>
      <w:r>
        <w:rPr>
          <w:rFonts w:hint="eastAsia" w:ascii="仿宋_GB2312" w:eastAsia="仿宋_GB2312"/>
          <w:color w:val="000000"/>
          <w:sz w:val="24"/>
        </w:rPr>
        <w:t>县（市、区）</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考生签名：</w:t>
      </w:r>
      <w:r>
        <w:rPr>
          <w:rFonts w:hint="eastAsia" w:ascii="仿宋_GB2312" w:eastAsia="仿宋_GB2312"/>
          <w:color w:val="000000"/>
          <w:sz w:val="24"/>
          <w:u w:val="single"/>
        </w:rPr>
        <w:t xml:space="preserve">              </w:t>
      </w:r>
    </w:p>
    <w:p>
      <w:pPr>
        <w:pageBreakBefore w:val="0"/>
        <w:kinsoku/>
        <w:wordWrap/>
        <w:overflowPunct/>
        <w:topLinePunct w:val="0"/>
        <w:autoSpaceDE/>
        <w:autoSpaceDN/>
        <w:bidi w:val="0"/>
        <w:ind w:firstLine="420" w:firstLineChars="200"/>
        <w:textAlignment w:val="auto"/>
        <w:rPr>
          <w:rFonts w:hint="eastAsia" w:ascii="仿宋_GB2312" w:eastAsia="仿宋_GB2312"/>
          <w:color w:val="000000"/>
          <w:szCs w:val="21"/>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714"/>
        <w:gridCol w:w="366"/>
        <w:gridCol w:w="360"/>
        <w:gridCol w:w="239"/>
        <w:gridCol w:w="121"/>
        <w:gridCol w:w="360"/>
        <w:gridCol w:w="20"/>
        <w:gridCol w:w="39"/>
        <w:gridCol w:w="301"/>
        <w:gridCol w:w="180"/>
        <w:gridCol w:w="540"/>
        <w:gridCol w:w="59"/>
        <w:gridCol w:w="121"/>
        <w:gridCol w:w="239"/>
        <w:gridCol w:w="661"/>
        <w:gridCol w:w="180"/>
        <w:gridCol w:w="180"/>
        <w:gridCol w:w="1080"/>
        <w:gridCol w:w="80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7"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姓名</w:t>
            </w: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779"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性别</w:t>
            </w:r>
          </w:p>
        </w:tc>
        <w:tc>
          <w:tcPr>
            <w:tcW w:w="1021"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80"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出生</w:t>
            </w:r>
          </w:p>
        </w:tc>
        <w:tc>
          <w:tcPr>
            <w:tcW w:w="2240"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年  月  日</w:t>
            </w:r>
          </w:p>
        </w:tc>
        <w:tc>
          <w:tcPr>
            <w:tcW w:w="191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半身一寸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脱帽相片</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体检医院</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体检章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47"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文化程度</w:t>
            </w:r>
          </w:p>
        </w:tc>
        <w:tc>
          <w:tcPr>
            <w:tcW w:w="1080"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72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民族</w:t>
            </w:r>
          </w:p>
        </w:tc>
        <w:tc>
          <w:tcPr>
            <w:tcW w:w="900"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59"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职业</w:t>
            </w:r>
          </w:p>
        </w:tc>
        <w:tc>
          <w:tcPr>
            <w:tcW w:w="1021"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婚否</w:t>
            </w:r>
          </w:p>
        </w:tc>
        <w:tc>
          <w:tcPr>
            <w:tcW w:w="800"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7"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籍贯</w:t>
            </w:r>
          </w:p>
        </w:tc>
        <w:tc>
          <w:tcPr>
            <w:tcW w:w="714"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466" w:type="dxa"/>
            <w:gridSpan w:val="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现住所及           通讯处</w:t>
            </w:r>
          </w:p>
        </w:tc>
        <w:tc>
          <w:tcPr>
            <w:tcW w:w="4380" w:type="dxa"/>
            <w:gridSpan w:val="1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47"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原毕业学校或工作单位</w:t>
            </w:r>
          </w:p>
        </w:tc>
        <w:tc>
          <w:tcPr>
            <w:tcW w:w="6560"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7"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既往病史</w:t>
            </w:r>
          </w:p>
        </w:tc>
        <w:tc>
          <w:tcPr>
            <w:tcW w:w="6560"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20" w:type="dxa"/>
            <w:gridSpan w:val="21"/>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（以上由考生本人如实填写）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眼科</w:t>
            </w:r>
          </w:p>
        </w:tc>
        <w:tc>
          <w:tcPr>
            <w:tcW w:w="1080"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裸眼视力</w:t>
            </w:r>
          </w:p>
        </w:tc>
        <w:tc>
          <w:tcPr>
            <w:tcW w:w="1100"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w:t>
            </w:r>
          </w:p>
        </w:tc>
        <w:tc>
          <w:tcPr>
            <w:tcW w:w="1119" w:type="dxa"/>
            <w:gridSpan w:val="5"/>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矫正视力</w:t>
            </w: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      矫正度数：</w:t>
            </w:r>
          </w:p>
        </w:tc>
        <w:tc>
          <w:tcPr>
            <w:tcW w:w="191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医师意见</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（签字）</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1.眼   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2.耳鼻喉科</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080"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100"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w:t>
            </w:r>
          </w:p>
        </w:tc>
        <w:tc>
          <w:tcPr>
            <w:tcW w:w="1119" w:type="dxa"/>
            <w:gridSpan w:val="5"/>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      矫正度数：</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714"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其他眼病</w:t>
            </w:r>
          </w:p>
        </w:tc>
        <w:tc>
          <w:tcPr>
            <w:tcW w:w="1466" w:type="dxa"/>
            <w:gridSpan w:val="6"/>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119" w:type="dxa"/>
            <w:gridSpan w:val="5"/>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色觉检查</w:t>
            </w: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彩色图案及编码：               正常□ 色弱□ 色盲□ 全色盲□</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714"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66" w:type="dxa"/>
            <w:gridSpan w:val="6"/>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119" w:type="dxa"/>
            <w:gridSpan w:val="5"/>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单颜色识别：                </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红□ 绿□ 紫□ 蓝□ 黄□</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耳鼻喉科</w:t>
            </w:r>
          </w:p>
        </w:tc>
        <w:tc>
          <w:tcPr>
            <w:tcW w:w="714"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听力</w:t>
            </w:r>
          </w:p>
        </w:tc>
        <w:tc>
          <w:tcPr>
            <w:tcW w:w="1466" w:type="dxa"/>
            <w:gridSpan w:val="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右     公尺</w:t>
            </w:r>
          </w:p>
        </w:tc>
        <w:tc>
          <w:tcPr>
            <w:tcW w:w="1119"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嗅觉</w:t>
            </w: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迟钝□ 丧失□</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714"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66" w:type="dxa"/>
            <w:gridSpan w:val="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左     公尺</w:t>
            </w:r>
          </w:p>
        </w:tc>
        <w:tc>
          <w:tcPr>
            <w:tcW w:w="1119" w:type="dxa"/>
            <w:gridSpan w:val="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耳鼻咽喉</w:t>
            </w:r>
          </w:p>
        </w:tc>
        <w:tc>
          <w:tcPr>
            <w:tcW w:w="3261"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679"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耳鼻喉科异常</w:t>
            </w:r>
          </w:p>
        </w:tc>
        <w:tc>
          <w:tcPr>
            <w:tcW w:w="4881" w:type="dxa"/>
            <w:gridSpan w:val="15"/>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口腔科</w:t>
            </w:r>
          </w:p>
        </w:tc>
        <w:tc>
          <w:tcPr>
            <w:tcW w:w="2520" w:type="dxa"/>
            <w:gridSpan w:val="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唇腭：正常□ 异常□</w:t>
            </w:r>
          </w:p>
        </w:tc>
        <w:tc>
          <w:tcPr>
            <w:tcW w:w="4040" w:type="dxa"/>
            <w:gridSpan w:val="10"/>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牙齿：正常□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2160" w:type="dxa"/>
            <w:gridSpan w:val="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口吃：否□ 是□</w:t>
            </w:r>
          </w:p>
        </w:tc>
        <w:tc>
          <w:tcPr>
            <w:tcW w:w="1260"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口腔异常</w:t>
            </w:r>
          </w:p>
        </w:tc>
        <w:tc>
          <w:tcPr>
            <w:tcW w:w="3140" w:type="dxa"/>
            <w:gridSpan w:val="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外科</w:t>
            </w:r>
          </w:p>
        </w:tc>
        <w:tc>
          <w:tcPr>
            <w:tcW w:w="2180" w:type="dxa"/>
            <w:gridSpan w:val="7"/>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身高：     厘米</w:t>
            </w:r>
          </w:p>
        </w:tc>
        <w:tc>
          <w:tcPr>
            <w:tcW w:w="4380" w:type="dxa"/>
            <w:gridSpan w:val="1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体重：     公斤</w:t>
            </w:r>
          </w:p>
        </w:tc>
        <w:tc>
          <w:tcPr>
            <w:tcW w:w="191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医师意见</w:t>
            </w:r>
            <w:r>
              <w:rPr>
                <w:rFonts w:hint="eastAsia" w:ascii="仿宋_GB2312" w:hAnsi="宋体" w:eastAsia="仿宋_GB2312" w:cs="宋体"/>
                <w:color w:val="000000"/>
                <w:kern w:val="0"/>
                <w:szCs w:val="21"/>
              </w:rPr>
              <w:br w:type="textWrapping"/>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2520" w:type="dxa"/>
            <w:gridSpan w:val="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皮肤: 正常□  异常□</w:t>
            </w:r>
          </w:p>
        </w:tc>
        <w:tc>
          <w:tcPr>
            <w:tcW w:w="4040" w:type="dxa"/>
            <w:gridSpan w:val="10"/>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面部： 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2520" w:type="dxa"/>
            <w:gridSpan w:val="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颈部：正常□  异常□</w:t>
            </w:r>
          </w:p>
        </w:tc>
        <w:tc>
          <w:tcPr>
            <w:tcW w:w="4040" w:type="dxa"/>
            <w:gridSpan w:val="10"/>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脊柱： 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2520" w:type="dxa"/>
            <w:gridSpan w:val="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四肢：正常□  异常□</w:t>
            </w:r>
          </w:p>
        </w:tc>
        <w:tc>
          <w:tcPr>
            <w:tcW w:w="4040" w:type="dxa"/>
            <w:gridSpan w:val="10"/>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关节： 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外科异常</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内科</w:t>
            </w: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血压</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收缩压：       kpa</w:t>
            </w:r>
          </w:p>
          <w:p>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舒张压：       kpa</w:t>
            </w:r>
          </w:p>
        </w:tc>
        <w:tc>
          <w:tcPr>
            <w:tcW w:w="191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医 师 意 见</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发育情况</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良好□  差□</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神经系统</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呼吸系统</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心脏及血管</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脾</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　</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胸部透视</w:t>
            </w:r>
          </w:p>
        </w:tc>
        <w:tc>
          <w:tcPr>
            <w:tcW w:w="1859" w:type="dxa"/>
            <w:gridSpan w:val="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正常□  异常□</w:t>
            </w:r>
          </w:p>
        </w:tc>
        <w:tc>
          <w:tcPr>
            <w:tcW w:w="1201" w:type="dxa"/>
            <w:gridSpan w:val="4"/>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胸透异常</w:t>
            </w:r>
          </w:p>
        </w:tc>
        <w:tc>
          <w:tcPr>
            <w:tcW w:w="206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440" w:type="dxa"/>
            <w:gridSpan w:val="3"/>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内科异常</w:t>
            </w:r>
          </w:p>
        </w:tc>
        <w:tc>
          <w:tcPr>
            <w:tcW w:w="5120" w:type="dxa"/>
            <w:gridSpan w:val="16"/>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7"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肝功能</w:t>
            </w:r>
          </w:p>
        </w:tc>
        <w:tc>
          <w:tcPr>
            <w:tcW w:w="6560"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转氨酶：正常□  异常□</w:t>
            </w:r>
          </w:p>
        </w:tc>
        <w:tc>
          <w:tcPr>
            <w:tcW w:w="1913" w:type="dxa"/>
            <w:vMerge w:val="restart"/>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医 师 意 见</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br w:type="textWrapping"/>
            </w:r>
          </w:p>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签字</w:t>
            </w:r>
          </w:p>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47"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p>
        </w:tc>
        <w:tc>
          <w:tcPr>
            <w:tcW w:w="6560"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肝功能异常：</w:t>
            </w:r>
          </w:p>
        </w:tc>
        <w:tc>
          <w:tcPr>
            <w:tcW w:w="1913" w:type="dxa"/>
            <w:vMerge w:val="continue"/>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61"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体检结论</w:t>
            </w:r>
          </w:p>
        </w:tc>
        <w:tc>
          <w:tcPr>
            <w:tcW w:w="7759"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961"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体检医院意见</w:t>
            </w:r>
          </w:p>
        </w:tc>
        <w:tc>
          <w:tcPr>
            <w:tcW w:w="7759"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961"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复审意见</w:t>
            </w:r>
          </w:p>
        </w:tc>
        <w:tc>
          <w:tcPr>
            <w:tcW w:w="7759"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61" w:type="dxa"/>
            <w:gridSpan w:val="2"/>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c>
          <w:tcPr>
            <w:tcW w:w="7759" w:type="dxa"/>
            <w:gridSpan w:val="19"/>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pPr>
        <w:pageBreakBefore w:val="0"/>
        <w:kinsoku/>
        <w:wordWrap/>
        <w:overflowPunct/>
        <w:topLinePunct w:val="0"/>
        <w:autoSpaceDE/>
        <w:autoSpaceDN/>
        <w:bidi w:val="0"/>
        <w:ind w:firstLine="420" w:firstLineChars="200"/>
        <w:textAlignment w:val="auto"/>
        <w:rPr>
          <w:rFonts w:hint="eastAsia" w:ascii="仿宋_GB2312" w:eastAsia="仿宋_GB2312"/>
          <w:color w:val="000000"/>
          <w:szCs w:val="21"/>
        </w:rPr>
      </w:pPr>
    </w:p>
    <w:p>
      <w:pPr>
        <w:pageBreakBefore w:val="0"/>
        <w:kinsoku/>
        <w:wordWrap/>
        <w:overflowPunct/>
        <w:topLinePunct w:val="0"/>
        <w:autoSpaceDE/>
        <w:autoSpaceDN/>
        <w:bidi w:val="0"/>
        <w:ind w:left="420" w:leftChars="200" w:firstLine="420" w:firstLineChars="200"/>
        <w:textAlignment w:val="auto"/>
        <w:rPr>
          <w:rFonts w:hint="eastAsia" w:ascii="仿宋_GB2312" w:eastAsia="仿宋_GB2312"/>
          <w:color w:val="000000"/>
          <w:szCs w:val="21"/>
        </w:rPr>
      </w:pPr>
      <w:r>
        <w:rPr>
          <w:rFonts w:hint="eastAsia" w:ascii="仿宋_GB2312" w:eastAsia="仿宋_GB2312"/>
          <w:color w:val="000000"/>
          <w:szCs w:val="21"/>
        </w:rPr>
        <w:t>注：1.“既往病史”一栏考生必须如实填写。如发现有隐瞒严重疾病，不符合体检标准的，即使已录取入学，也必须取消入学资格。</w:t>
      </w:r>
    </w:p>
    <w:p>
      <w:pPr>
        <w:pageBreakBefore w:val="0"/>
        <w:kinsoku/>
        <w:wordWrap/>
        <w:overflowPunct/>
        <w:topLinePunct w:val="0"/>
        <w:autoSpaceDE/>
        <w:autoSpaceDN/>
        <w:bidi w:val="0"/>
        <w:ind w:left="420" w:leftChars="200" w:firstLine="420" w:firstLineChars="200"/>
        <w:textAlignment w:val="auto"/>
        <w:rPr>
          <w:rFonts w:hint="eastAsia" w:ascii="仿宋_GB2312" w:eastAsia="仿宋_GB2312"/>
          <w:color w:val="000000"/>
          <w:szCs w:val="21"/>
        </w:rPr>
      </w:pPr>
      <w:r>
        <w:rPr>
          <w:rFonts w:hint="eastAsia" w:ascii="仿宋_GB2312" w:eastAsia="仿宋_GB2312"/>
          <w:color w:val="000000"/>
          <w:szCs w:val="21"/>
        </w:rPr>
        <w:t xml:space="preserve">    2.体检医师应在检查项目结果的正常或异常等后的空格打“√”。</w:t>
      </w:r>
    </w:p>
    <w:p>
      <w:pPr>
        <w:pageBreakBefore w:val="0"/>
        <w:kinsoku/>
        <w:wordWrap/>
        <w:overflowPunct/>
        <w:topLinePunct w:val="0"/>
        <w:autoSpaceDE/>
        <w:autoSpaceDN/>
        <w:bidi w:val="0"/>
        <w:ind w:left="840" w:leftChars="400" w:firstLine="420" w:firstLineChars="200"/>
        <w:textAlignment w:val="auto"/>
        <w:rPr>
          <w:rFonts w:hint="eastAsia" w:ascii="仿宋_GB2312" w:eastAsia="仿宋_GB2312"/>
          <w:color w:val="000000"/>
          <w:szCs w:val="21"/>
        </w:rPr>
      </w:pPr>
      <w:r>
        <w:rPr>
          <w:rFonts w:hint="eastAsia" w:ascii="仿宋_GB2312" w:eastAsia="仿宋_GB2312"/>
          <w:color w:val="000000"/>
          <w:szCs w:val="21"/>
        </w:rPr>
        <w:t>3.体检标准按《普通高等学校招生体检指导意见》及教育部、卫生部有关文件要求执行。</w:t>
      </w:r>
    </w:p>
    <w:p>
      <w:pPr>
        <w:pageBreakBefore w:val="0"/>
        <w:kinsoku/>
        <w:wordWrap/>
        <w:overflowPunct/>
        <w:topLinePunct w:val="0"/>
        <w:autoSpaceDE/>
        <w:autoSpaceDN/>
        <w:bidi w:val="0"/>
        <w:ind w:firstLine="420" w:firstLineChars="200"/>
        <w:textAlignment w:val="auto"/>
        <w:rPr>
          <w:rFonts w:hint="eastAsia" w:ascii="仿宋_GB2312" w:eastAsia="仿宋_GB2312"/>
          <w:color w:val="000000"/>
          <w:szCs w:val="21"/>
        </w:rPr>
      </w:pPr>
    </w:p>
    <w:p>
      <w:pPr>
        <w:pageBreakBefore w:val="0"/>
        <w:tabs>
          <w:tab w:val="left" w:pos="3056"/>
          <w:tab w:val="center" w:pos="4908"/>
        </w:tabs>
        <w:kinsoku/>
        <w:wordWrap/>
        <w:overflowPunct/>
        <w:topLinePunct w:val="0"/>
        <w:autoSpaceDE/>
        <w:autoSpaceDN/>
        <w:bidi w:val="0"/>
        <w:ind w:firstLine="420" w:firstLineChars="200"/>
        <w:jc w:val="left"/>
        <w:textAlignment w:val="auto"/>
        <w:rPr>
          <w:rFonts w:hint="default" w:ascii="仿宋_GB2312" w:hAnsi="宋体" w:eastAsia="仿宋_GB2312" w:cs="宋体"/>
          <w:color w:val="auto"/>
          <w:sz w:val="32"/>
          <w:szCs w:val="32"/>
          <w:lang w:val="en-US" w:eastAsia="zh-CN"/>
        </w:rPr>
      </w:pPr>
      <w:r>
        <w:rPr>
          <w:rFonts w:hint="eastAsia" w:ascii="仿宋_GB2312" w:eastAsia="仿宋_GB2312"/>
          <w:color w:val="000000"/>
          <w:szCs w:val="21"/>
        </w:rPr>
        <w:tab/>
      </w:r>
      <w:r>
        <w:rPr>
          <w:rFonts w:hint="eastAsia" w:ascii="仿宋_GB2312" w:eastAsia="仿宋_GB2312"/>
          <w:color w:val="000000"/>
          <w:szCs w:val="21"/>
        </w:rPr>
        <w:t xml:space="preserve">                 </w:t>
      </w:r>
      <w:r>
        <w:rPr>
          <w:rFonts w:hint="eastAsia" w:ascii="仿宋_GB2312" w:eastAsia="仿宋_GB2312"/>
          <w:color w:val="000000"/>
          <w:szCs w:val="21"/>
        </w:rPr>
        <w:tab/>
      </w:r>
      <w:r>
        <w:rPr>
          <w:rFonts w:hint="eastAsia" w:ascii="仿宋_GB2312" w:eastAsia="仿宋_GB2312"/>
          <w:color w:val="000000"/>
          <w:szCs w:val="21"/>
        </w:rPr>
        <w:t>体检日期：二О    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3E88"/>
    <w:rsid w:val="01EB087C"/>
    <w:rsid w:val="0272602B"/>
    <w:rsid w:val="02A44CC9"/>
    <w:rsid w:val="03612AB9"/>
    <w:rsid w:val="038F0B05"/>
    <w:rsid w:val="0818609E"/>
    <w:rsid w:val="0B0B055C"/>
    <w:rsid w:val="0B106E41"/>
    <w:rsid w:val="0BA466B5"/>
    <w:rsid w:val="0C707110"/>
    <w:rsid w:val="0D1C7AD2"/>
    <w:rsid w:val="0DB97712"/>
    <w:rsid w:val="0DCB0190"/>
    <w:rsid w:val="0DD6437E"/>
    <w:rsid w:val="0E5161A0"/>
    <w:rsid w:val="0F0B5845"/>
    <w:rsid w:val="10E94BAC"/>
    <w:rsid w:val="14D95A72"/>
    <w:rsid w:val="14F0527D"/>
    <w:rsid w:val="15D76DA8"/>
    <w:rsid w:val="163324D5"/>
    <w:rsid w:val="16C0152C"/>
    <w:rsid w:val="16EB0BEB"/>
    <w:rsid w:val="1969402F"/>
    <w:rsid w:val="1A5D7097"/>
    <w:rsid w:val="1B0221DB"/>
    <w:rsid w:val="1BCC7B02"/>
    <w:rsid w:val="1C9D6AEA"/>
    <w:rsid w:val="1CE77399"/>
    <w:rsid w:val="1D53262B"/>
    <w:rsid w:val="1E6E4634"/>
    <w:rsid w:val="1EFB133E"/>
    <w:rsid w:val="1F4161C2"/>
    <w:rsid w:val="1FE52948"/>
    <w:rsid w:val="211056C8"/>
    <w:rsid w:val="21BA60B8"/>
    <w:rsid w:val="221E695E"/>
    <w:rsid w:val="22491871"/>
    <w:rsid w:val="22540639"/>
    <w:rsid w:val="2294713C"/>
    <w:rsid w:val="22C55FFA"/>
    <w:rsid w:val="245A650F"/>
    <w:rsid w:val="24C71E2A"/>
    <w:rsid w:val="27834A33"/>
    <w:rsid w:val="289A5BCF"/>
    <w:rsid w:val="28FA5745"/>
    <w:rsid w:val="29131DE9"/>
    <w:rsid w:val="2A805CC6"/>
    <w:rsid w:val="2B885D64"/>
    <w:rsid w:val="2BFB0CFF"/>
    <w:rsid w:val="2D4C3DC5"/>
    <w:rsid w:val="2D8A262B"/>
    <w:rsid w:val="2E0F65B3"/>
    <w:rsid w:val="2EF33478"/>
    <w:rsid w:val="2F7C23E2"/>
    <w:rsid w:val="300410E2"/>
    <w:rsid w:val="33AF7EE8"/>
    <w:rsid w:val="33E0587C"/>
    <w:rsid w:val="34E04BBB"/>
    <w:rsid w:val="35686E5B"/>
    <w:rsid w:val="36533F02"/>
    <w:rsid w:val="365A0F20"/>
    <w:rsid w:val="37964BA3"/>
    <w:rsid w:val="38A809A3"/>
    <w:rsid w:val="39330EA7"/>
    <w:rsid w:val="3B9504ED"/>
    <w:rsid w:val="3C270BF6"/>
    <w:rsid w:val="3C856583"/>
    <w:rsid w:val="3F302495"/>
    <w:rsid w:val="407451A1"/>
    <w:rsid w:val="439B74F1"/>
    <w:rsid w:val="43E717CB"/>
    <w:rsid w:val="44147C48"/>
    <w:rsid w:val="4434432A"/>
    <w:rsid w:val="462C7341"/>
    <w:rsid w:val="47152B60"/>
    <w:rsid w:val="47961F2B"/>
    <w:rsid w:val="47A54A40"/>
    <w:rsid w:val="48A372D7"/>
    <w:rsid w:val="48B83299"/>
    <w:rsid w:val="4B6D3ECA"/>
    <w:rsid w:val="4BC06A85"/>
    <w:rsid w:val="4BFB7083"/>
    <w:rsid w:val="4C78770B"/>
    <w:rsid w:val="4F014B60"/>
    <w:rsid w:val="4F2435FC"/>
    <w:rsid w:val="50602CA8"/>
    <w:rsid w:val="510761C0"/>
    <w:rsid w:val="51921D51"/>
    <w:rsid w:val="544E25DE"/>
    <w:rsid w:val="57383DCA"/>
    <w:rsid w:val="574B7E86"/>
    <w:rsid w:val="57CB7DB5"/>
    <w:rsid w:val="57EB6A47"/>
    <w:rsid w:val="584E30D9"/>
    <w:rsid w:val="5B9A7509"/>
    <w:rsid w:val="5C1847E3"/>
    <w:rsid w:val="5C883E27"/>
    <w:rsid w:val="5CB904DB"/>
    <w:rsid w:val="5DE32C90"/>
    <w:rsid w:val="5E7D1FDB"/>
    <w:rsid w:val="5F7F446A"/>
    <w:rsid w:val="5FC554E4"/>
    <w:rsid w:val="618132D6"/>
    <w:rsid w:val="653A4357"/>
    <w:rsid w:val="66E26C12"/>
    <w:rsid w:val="6A0344CB"/>
    <w:rsid w:val="6B0D643C"/>
    <w:rsid w:val="6BC36156"/>
    <w:rsid w:val="6C9408C0"/>
    <w:rsid w:val="6E610E6D"/>
    <w:rsid w:val="6EA97604"/>
    <w:rsid w:val="6EEB6A34"/>
    <w:rsid w:val="6F2242DA"/>
    <w:rsid w:val="6FF639CD"/>
    <w:rsid w:val="72471598"/>
    <w:rsid w:val="72CE3BB2"/>
    <w:rsid w:val="747F4524"/>
    <w:rsid w:val="75BD6A8C"/>
    <w:rsid w:val="762F1547"/>
    <w:rsid w:val="777D1E83"/>
    <w:rsid w:val="78033E21"/>
    <w:rsid w:val="78FD67AA"/>
    <w:rsid w:val="7B584F37"/>
    <w:rsid w:val="7D5025E1"/>
    <w:rsid w:val="7DB970B9"/>
    <w:rsid w:val="7DDF2BCB"/>
    <w:rsid w:val="7EF3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480" w:firstLineChars="20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adjustRightInd w:val="0"/>
      <w:snapToGrid w:val="0"/>
      <w:spacing w:line="540" w:lineRule="exact"/>
      <w:ind w:left="153" w:leftChars="73" w:firstLine="640" w:firstLineChars="200"/>
    </w:pPr>
    <w:rPr>
      <w:rFonts w:eastAsia="仿宋_GB2312"/>
      <w:sz w:val="32"/>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Hyperlink"/>
    <w:qFormat/>
    <w:uiPriority w:val="0"/>
    <w:rPr>
      <w:color w:val="0000FF"/>
      <w:u w:val="single"/>
    </w:rPr>
  </w:style>
  <w:style w:type="paragraph" w:customStyle="1" w:styleId="14">
    <w:name w:val="Heading #2|1"/>
    <w:basedOn w:val="1"/>
    <w:qFormat/>
    <w:uiPriority w:val="0"/>
    <w:pPr>
      <w:widowControl w:val="0"/>
      <w:shd w:val="clear" w:color="auto" w:fill="auto"/>
      <w:spacing w:after="540" w:line="562"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2019-11-11T03:14:00Z</dcterms:created>
  <dc:creator>招生办</dc:creator>
  <cp:lastModifiedBy>蚂蚁小姐</cp:lastModifiedBy>
  <cp:lastPrinted>2021-01-07T06:45:00Z</cp:lastPrinted>
  <dcterms:modified xsi:type="dcterms:W3CDTF">2022-01-07T02:25:48Z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7ABDB4D2046A47D28E3C1A299BB88AAD</vt:lpwstr>
  </property>
</Properties>
</file>