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firstLine="3855" w:firstLineChars="1200"/>
        <w:jc w:val="both"/>
        <w:rPr>
          <w:rFonts w:hint="eastAsia" w:ascii="黑体" w:eastAsia="黑体"/>
          <w:b/>
          <w:sz w:val="32"/>
          <w:lang w:val="en-US" w:eastAsia="zh-CN"/>
        </w:rPr>
      </w:pPr>
      <w:r>
        <w:rPr>
          <w:rFonts w:hint="eastAsia" w:ascii="黑体" w:eastAsia="黑体"/>
          <w:b/>
          <w:sz w:val="32"/>
          <w:lang w:val="en-US" w:eastAsia="zh-CN"/>
        </w:rPr>
        <w:t>药理学</w:t>
      </w:r>
    </w:p>
    <w:p>
      <w:pPr>
        <w:pStyle w:val="3"/>
        <w:spacing w:before="9" w:line="360" w:lineRule="auto"/>
        <w:ind w:left="0"/>
        <w:rPr>
          <w:rFonts w:ascii="黑体"/>
          <w:b/>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spacing w:before="78" w:line="343" w:lineRule="auto"/>
        <w:ind w:left="117" w:right="112" w:firstLine="480"/>
        <w:rPr>
          <w:rFonts w:hint="default"/>
          <w:spacing w:val="-5"/>
          <w:lang w:val="en-US" w:eastAsia="zh-CN"/>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药理学</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spacing w:val="-8"/>
        </w:rPr>
        <w:t>旨在考核学生对</w:t>
      </w:r>
      <w:r>
        <w:rPr>
          <w:rFonts w:hint="eastAsia"/>
          <w:spacing w:val="-8"/>
          <w:lang w:val="en-US" w:eastAsia="zh-CN"/>
        </w:rPr>
        <w:t>药理学基本知识点</w:t>
      </w:r>
      <w:r>
        <w:rPr>
          <w:spacing w:val="-8"/>
        </w:rPr>
        <w:t>的掌握和</w:t>
      </w:r>
      <w:r>
        <w:rPr>
          <w:rFonts w:hint="eastAsia"/>
          <w:spacing w:val="-8"/>
          <w:lang w:val="en-US" w:eastAsia="zh-CN"/>
        </w:rPr>
        <w:t>运用</w:t>
      </w:r>
      <w:r>
        <w:rPr>
          <w:spacing w:val="-8"/>
        </w:rPr>
        <w:t xml:space="preserve">能力， </w:t>
      </w:r>
      <w:r>
        <w:rPr>
          <w:rFonts w:hint="eastAsia"/>
          <w:spacing w:val="-8"/>
          <w:lang w:val="en-US" w:eastAsia="zh-CN"/>
        </w:rPr>
        <w:t>主要</w:t>
      </w:r>
      <w:r>
        <w:rPr>
          <w:spacing w:val="-5"/>
        </w:rPr>
        <w:t>包括</w:t>
      </w:r>
      <w:r>
        <w:rPr>
          <w:rFonts w:hint="eastAsia"/>
          <w:spacing w:val="-5"/>
          <w:lang w:val="en-US" w:eastAsia="zh-CN"/>
        </w:rPr>
        <w:t>药理学的基本概念、基本原理以及常见临床治疗药物的类型，尤其是各类代表药物的药理作用、作用机制、临床应用及不良反应等内容；同时，还将考核考生的病案分析与合理用药能力及药理学常用实验操作技术要点。</w:t>
      </w:r>
    </w:p>
    <w:p>
      <w:pPr>
        <w:pStyle w:val="5"/>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宋体" w:hAnsi="宋体" w:eastAsia="宋体" w:cs="宋体"/>
          <w:spacing w:val="3"/>
          <w:sz w:val="24"/>
          <w:szCs w:val="22"/>
          <w:lang w:val="zh-CN" w:eastAsia="zh-CN" w:bidi="zh-CN"/>
        </w:rPr>
        <w:t>《药理学》</w:t>
      </w:r>
      <w:r>
        <w:rPr>
          <w:rFonts w:hint="eastAsia" w:hAnsi="宋体" w:cs="宋体"/>
          <w:spacing w:val="3"/>
          <w:sz w:val="24"/>
          <w:szCs w:val="22"/>
          <w:lang w:val="zh-CN" w:eastAsia="zh-CN" w:bidi="zh-CN"/>
        </w:rPr>
        <w:t>（</w:t>
      </w:r>
      <w:r>
        <w:rPr>
          <w:rFonts w:hint="eastAsia" w:ascii="宋体" w:hAnsi="宋体" w:eastAsia="宋体" w:cs="宋体"/>
          <w:spacing w:val="3"/>
          <w:sz w:val="24"/>
          <w:szCs w:val="22"/>
          <w:lang w:val="zh-CN" w:eastAsia="zh-CN" w:bidi="zh-CN"/>
        </w:rPr>
        <w:t>罗</w:t>
      </w:r>
      <w:r>
        <w:rPr>
          <w:rFonts w:hint="eastAsia" w:hAnsi="宋体" w:cs="宋体"/>
          <w:spacing w:val="3"/>
          <w:sz w:val="24"/>
          <w:szCs w:val="22"/>
          <w:lang w:val="en-US" w:eastAsia="zh-CN" w:bidi="zh-CN"/>
        </w:rPr>
        <w:t>跃</w:t>
      </w:r>
      <w:r>
        <w:rPr>
          <w:rFonts w:hint="eastAsia" w:ascii="宋体" w:hAnsi="宋体" w:eastAsia="宋体" w:cs="宋体"/>
          <w:spacing w:val="3"/>
          <w:sz w:val="24"/>
          <w:szCs w:val="22"/>
          <w:lang w:val="zh-CN" w:eastAsia="zh-CN" w:bidi="zh-CN"/>
        </w:rPr>
        <w:t>娥、樊一桥主编，人民卫生出版社，2018年</w:t>
      </w:r>
      <w:r>
        <w:rPr>
          <w:rFonts w:hint="eastAsia" w:hAnsi="宋体" w:cs="宋体"/>
          <w:spacing w:val="3"/>
          <w:sz w:val="24"/>
          <w:szCs w:val="22"/>
          <w:lang w:val="en-US" w:eastAsia="zh-CN" w:bidi="zh-CN"/>
        </w:rPr>
        <w:t>第3版</w:t>
      </w:r>
      <w:r>
        <w:rPr>
          <w:rFonts w:hint="eastAsia" w:hAnsi="宋体" w:cs="宋体"/>
          <w:spacing w:val="3"/>
          <w:sz w:val="24"/>
          <w:szCs w:val="22"/>
          <w:lang w:val="zh-CN" w:eastAsia="zh-CN" w:bidi="zh-CN"/>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48" w:firstLineChars="200"/>
        <w:textAlignment w:val="auto"/>
        <w:rPr>
          <w:rFonts w:hint="eastAsia" w:asciiTheme="minorEastAsia" w:hAnsiTheme="minorEastAsia" w:eastAsiaTheme="minorEastAsia" w:cstheme="minorEastAsia"/>
          <w:spacing w:val="-8"/>
          <w:sz w:val="24"/>
          <w:szCs w:val="24"/>
          <w:lang w:val="en-US"/>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153"/>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3450" w:firstLineChars="15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第一部分：</w:t>
      </w:r>
      <w:r>
        <w:rPr>
          <w:rFonts w:hint="eastAsia" w:asciiTheme="minorEastAsia" w:hAnsiTheme="minorEastAsia" w:eastAsiaTheme="minorEastAsia" w:cstheme="minorEastAsia"/>
          <w:spacing w:val="-5"/>
          <w:sz w:val="24"/>
          <w:szCs w:val="24"/>
          <w:lang w:val="en-US" w:eastAsia="zh-CN"/>
        </w:rPr>
        <w:t>总论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default" w:asciiTheme="minorEastAsia" w:hAnsiTheme="minorEastAsia" w:eastAsiaTheme="minorEastAsia" w:cstheme="minorEastAsia"/>
          <w:color w:val="000000" w:themeColor="text1"/>
          <w:spacing w:val="-5"/>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药理学总论主要包括绪论、药效学、药动学三个部分。其主要阐述了药理学的研究内容、学科任务、研究方法、新药研发过程中的药理学研究、药效学与药动学等内容。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通过测试，要求学生应该对</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药理学学科的研究内容、基本概念与基本理论有较全面的了解，其中药效学与药动学部分尤为重要。</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jc w:val="both"/>
        <w:textAlignment w:val="auto"/>
        <w:rPr>
          <w:rFonts w:hint="default"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lang w:eastAsia="zh-CN"/>
        </w:rPr>
        <w:t>一、</w:t>
      </w:r>
      <w:r>
        <w:rPr>
          <w:rFonts w:hint="eastAsia" w:asciiTheme="minorEastAsia" w:hAnsiTheme="minorEastAsia" w:eastAsiaTheme="minorEastAsia" w:cstheme="minorEastAsia"/>
          <w:spacing w:val="-5"/>
          <w:sz w:val="24"/>
          <w:szCs w:val="24"/>
          <w:lang w:val="en-US" w:eastAsia="zh-CN"/>
        </w:rPr>
        <w:t>绪论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部分</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药理学的定义、研究内容、学科特点与学科任务</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药理学的发展简史，研究方法及新药研发与药理学等内容，应注意常用术语的掌握</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eastAsia="zh-CN"/>
        </w:rPr>
        <w:t>掌握药物、药理学、药效学、药动学、安慰剂、随机双盲等的概念与药理学研究的主要内容；熟悉新药研发中的药理学研究，如非临床研究与四期临床试验；熟悉药理学实验中常用的给药操作技术要点，如腹腔注射、灌胃、皮下注射、耳缘静脉给药等；了解药理学的学科任务与研究方法。</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zh-CN" w:eastAsia="zh-CN"/>
        </w:rPr>
      </w:pPr>
      <w:r>
        <w:rPr>
          <w:rFonts w:hint="eastAsia" w:asciiTheme="minorEastAsia" w:hAnsiTheme="minorEastAsia" w:eastAsiaTheme="minorEastAsia" w:cstheme="minorEastAsia"/>
          <w:spacing w:val="-5"/>
          <w:sz w:val="24"/>
          <w:szCs w:val="24"/>
          <w:lang w:val="en-US" w:eastAsia="zh-CN"/>
        </w:rPr>
        <w:t>二、药动</w:t>
      </w:r>
      <w:r>
        <w:rPr>
          <w:rFonts w:hint="eastAsia" w:asciiTheme="minorEastAsia" w:hAnsiTheme="minorEastAsia" w:eastAsiaTheme="minorEastAsia" w:cstheme="minorEastAsia"/>
          <w:spacing w:val="-5"/>
          <w:sz w:val="24"/>
          <w:szCs w:val="24"/>
          <w:lang w:val="zh-CN" w:eastAsia="zh-CN"/>
        </w:rPr>
        <w:t>学</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部分</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研究药物在体内的变化规律，包括机体对药物的处置即吸收、分布、代谢、排泄过程随时间变化的规律；并应用药动学原理及数学模型定量地描述血药浓度随时间变化的规律与消除动力学；应注意对常见药动学参数的把握。通过此部分的测试，考查考生是否具备基本的指导临床给药方案制定的能力。</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zh-CN" w:eastAsia="zh-CN"/>
        </w:rPr>
        <w:t>考核知识点：</w:t>
      </w:r>
      <w:r>
        <w:rPr>
          <w:rFonts w:hint="eastAsia" w:asciiTheme="minorEastAsia" w:hAnsiTheme="minorEastAsia" w:eastAsiaTheme="minorEastAsia" w:cstheme="minorEastAsia"/>
          <w:spacing w:val="-5"/>
          <w:sz w:val="24"/>
          <w:szCs w:val="24"/>
          <w:lang w:val="en-US" w:eastAsia="zh-CN"/>
        </w:rPr>
        <w:t>掌握药物的吸收、首关消除、离子障的概念及临床意义，熟悉影响药物吸收的主要因素；掌握药物的分布及与血浆蛋白结合的特点，并熟悉影响分布的主要因素；掌握代谢即生物转化、肝药酶、药酶诱导剂、药酶抑制剂的概念及临床意义，能够列举常见的药酶诱导剂与抑制剂，并熟悉影响药物代谢的主要因素；掌握肝肠循环的概念，熟悉药物的排泄及影响因素；掌握常见的药动学参数如半衰期、表观分布容积、清除率、生物利用度、药时曲线下的面积、稳态血药浓度等的概念及临床意义；熟悉药时曲线的基本特点；熟悉药物消除动力学的基本类型：一级和零级消除动力学的特点比较；了解药物跨膜转运的类型及特点。</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药效学</w:t>
      </w:r>
    </w:p>
    <w:p>
      <w:pPr>
        <w:keepNext w:val="0"/>
        <w:keepLines w:val="0"/>
        <w:pageBreakBefore w:val="0"/>
        <w:widowControl w:val="0"/>
        <w:numPr>
          <w:numId w:val="0"/>
        </w:numPr>
        <w:kinsoku/>
        <w:wordWrap/>
        <w:overflowPunct/>
        <w:topLinePunct w:val="0"/>
        <w:autoSpaceDE w:val="0"/>
        <w:autoSpaceDN w:val="0"/>
        <w:bidi w:val="0"/>
        <w:adjustRightInd/>
        <w:snapToGrid/>
        <w:spacing w:line="360" w:lineRule="auto"/>
        <w:ind w:leftChars="200" w:right="0" w:rightChars="0"/>
        <w:jc w:val="both"/>
        <w:textAlignment w:val="auto"/>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部分</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研究药物对机体产生的作用及作用规律，主要包括药物的作用、量效</w:t>
      </w:r>
    </w:p>
    <w:p>
      <w:pPr>
        <w:keepNext w:val="0"/>
        <w:keepLines w:val="0"/>
        <w:pageBreakBefore w:val="0"/>
        <w:widowControl w:val="0"/>
        <w:numPr>
          <w:numId w:val="0"/>
        </w:numPr>
        <w:kinsoku/>
        <w:wordWrap/>
        <w:overflowPunct/>
        <w:topLinePunct w:val="0"/>
        <w:autoSpaceDE w:val="0"/>
        <w:autoSpaceDN w:val="0"/>
        <w:bidi w:val="0"/>
        <w:adjustRightInd/>
        <w:snapToGrid/>
        <w:spacing w:line="360" w:lineRule="auto"/>
        <w:ind w:right="0" w:rightChars="0"/>
        <w:jc w:val="both"/>
        <w:textAlignment w:val="auto"/>
        <w:rPr>
          <w:rFonts w:hint="eastAsia" w:asciiTheme="minorEastAsia" w:hAnsiTheme="minorEastAsia" w:eastAsiaTheme="minorEastAsia" w:cstheme="minorEastAsia"/>
          <w:spacing w:val="-5"/>
          <w:sz w:val="24"/>
          <w:szCs w:val="24"/>
        </w:rPr>
      </w:pPr>
      <w:bookmarkStart w:id="0" w:name="_GoBack"/>
      <w:bookmarkEnd w:id="0"/>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关系、药物的受体机制等内容；应注意对药效学常见术语的掌握。</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药物不良反应的概念、主要类型与特点；掌握药物的量-效关系，效能与效价、半数致死量与半数有效量、治疗指数与安全范围的概念与临床意义；掌握激动药与拮抗药的概念与特点；熟悉药物的基本作用、选择作用及作用的两重性，能区分对因治疗与对症治疗；熟悉影响药物效应的因素；熟悉药物耐受性、耐药性、依赖性的概念；熟悉硫酸镁不同给药途径对药物作用的影响及原理；了解受体的特点与药物的非特异性机制。</w:t>
      </w:r>
    </w:p>
    <w:p>
      <w:pPr>
        <w:keepNext w:val="0"/>
        <w:keepLines w:val="0"/>
        <w:pageBreakBefore w:val="0"/>
        <w:widowControl w:val="0"/>
        <w:kinsoku/>
        <w:wordWrap/>
        <w:overflowPunct/>
        <w:topLinePunct w:val="0"/>
        <w:autoSpaceDE w:val="0"/>
        <w:autoSpaceDN w:val="0"/>
        <w:bidi w:val="0"/>
        <w:adjustRightInd/>
        <w:snapToGrid/>
        <w:spacing w:line="360" w:lineRule="auto"/>
        <w:ind w:firstLine="3220" w:firstLineChars="14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5"/>
          <w:sz w:val="24"/>
          <w:szCs w:val="24"/>
        </w:rPr>
        <w:t>部分：</w:t>
      </w:r>
      <w:r>
        <w:rPr>
          <w:rFonts w:hint="eastAsia" w:asciiTheme="minorEastAsia" w:hAnsiTheme="minorEastAsia" w:eastAsiaTheme="minorEastAsia" w:cstheme="minorEastAsia"/>
          <w:spacing w:val="-5"/>
          <w:sz w:val="24"/>
          <w:szCs w:val="24"/>
          <w:lang w:val="en-US" w:eastAsia="zh-CN"/>
        </w:rPr>
        <w:t>各论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药理学各论部分是按照临床治疗疾病的药物类型来具体阐述各类药物的药理学基本知识，主要包括药物的分类与代表药、主要药动学特点、作用机制、药理作用、临床应用、不良反应、禁忌症等内容。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通过该部分的测试能够考查学生对临床常用药物药理学知识的基本掌握程度，并通过病案分析考核学生基本的指导临床合理用药能力。</w:t>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传出神经系统药理学概论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textAlignment w:val="auto"/>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传出神经系统药理学的基本概念与理论。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考核知识点：掌握递质的概念，熟悉乙酰胆碱和去甲肾上腺素的合成、贮存、释放和消除过程；掌握受体的分类、分布及对应的生理效应；熟悉常见的传出神经系统药物的分类与代表药。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二、拟胆碱药和胆碱酯酶复活药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default"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传出神经系统药物中的拟胆碱药与胆碱酯酶复活药的分类、代表药物、药理作用、作用机制、不良反应与临床应用等内容。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毛果芸香碱的药理作用与机制，特别是对眼的作用及临床应用；掌握新斯的明的药理作用与机制、临床应用及不良反应；掌握有机磷农药的中毒机制、临床中毒程度辨识及相应的解救方法，了解胆碱酯酶复活药碘解磷定与毒扁豆碱的作用特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三、胆碱受体阻断药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lang w:val="en-US" w:eastAsia="zh-CN"/>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胆碱受体阻断药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考核知识点：掌握M受体阻断剂-阿托品的药理作用、机制、临床用途、不良反应、禁忌症；了解东莨菪碱、山莨菪碱的作用特点及临床应用；了解N</w:t>
      </w:r>
      <w:r>
        <w:rPr>
          <w:rFonts w:hint="eastAsia" w:asciiTheme="minorEastAsia" w:hAnsiTheme="minorEastAsia" w:eastAsiaTheme="minorEastAsia" w:cstheme="minorEastAsia"/>
          <w:spacing w:val="-5"/>
          <w:sz w:val="24"/>
          <w:szCs w:val="24"/>
          <w:vertAlign w:val="subscript"/>
          <w:lang w:val="en-US" w:eastAsia="zh-CN"/>
        </w:rPr>
        <w:t>2</w:t>
      </w:r>
      <w:r>
        <w:rPr>
          <w:rFonts w:hint="eastAsia" w:asciiTheme="minorEastAsia" w:hAnsiTheme="minorEastAsia" w:eastAsiaTheme="minorEastAsia" w:cstheme="minorEastAsia"/>
          <w:spacing w:val="-5"/>
          <w:sz w:val="24"/>
          <w:szCs w:val="24"/>
          <w:lang w:val="en-US" w:eastAsia="zh-CN"/>
        </w:rPr>
        <w:t>受体阻断剂的分类及代表药-琥珀胆碱与筒箭毒碱的区别。</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四、拟肾上腺素药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拟肾</w:t>
      </w:r>
      <w:r>
        <w:rPr>
          <w:rFonts w:hint="eastAsia" w:asciiTheme="minorEastAsia" w:hAnsiTheme="minorEastAsia" w:eastAsiaTheme="minorEastAsia" w:cstheme="minorEastAsia"/>
          <w:spacing w:val="-5"/>
          <w:sz w:val="24"/>
          <w:szCs w:val="24"/>
          <w:lang w:val="en-US" w:eastAsia="zh-CN"/>
        </w:rPr>
        <w:t>上腺素药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拟肾上腺素药的分类及代表药；掌握α受体激动药-去甲肾上腺素的机制、药理作用、临床用途、不良反应；掌握α、β受体激动药-肾上腺素的机制、药理作用、临床用途、不良反应；熟悉β受体激动药-异丙肾上腺素的机制、药理作用、临床用途、不良反应；并能够比较去甲肾上腺素、肾上腺素与异丙肾上腺素的特点差异。</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五、肾上腺素受体阻断药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肾上腺素受体阻断药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考核知识点：熟悉“肾上腺素升压作用的翻转”作用原理；掌握α受体阻断药-酚妥拉明的机制、药理作用、临床用途及不良反应；熟悉β受体阻断药-普萘洛尔的机制、药理作用、临床用途、不良反应、禁忌症。</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六、镇静催眠药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镇静催眠药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镇静催眠药物的分类及代表药；掌握苯二氮䓬类药物-地西泮的药理作用、作用机制、临床用途、不良反应，急性中毒的抢救药-氟马西尼；掌握苯二氮卓类药物在镇静催眠应用中取代巴比妥类的优势；熟悉巴比妥类药物-苯巴比妥的药理作用、作用机制、临床用途、不良反应。</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七、抗精神失常药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抗精神失常药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吩噻嗪类抗精神分裂症药-氯丙嗪的药理作用、作用机制、临床用途、不良反应；掌握常见抗抑郁药的分类及代表药物，如5-HT再摄取抑制药氟西汀、舍曲林等；熟悉常见的抗躁狂药特点，如碳酸锂、卡马西平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八、镇痛药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单元主要介绍了镇痛药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镇痛药的分类及代表药；掌握吗啡的药理作用、作用机制、临床用途、不良反应，禁忌症；熟悉哌替啶（度冷丁）的药理作用及特点、临床用途及不良反应；熟悉其他镇痛药特点：芬太尼、喷他佐辛、曲马多等；了解癌痛镇痛的“三阶梯疗法”；掌握小鼠热板法镇痛实验的原理与操作要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九、解热镇痛抗炎药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解热镇痛抗炎药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解热镇痛抗炎药的分类及代表药；掌握阿司匹林的药动学特点、药理作用、机制、临床用途及不良反应；熟悉对乙酰氨基酚、布洛芬等的作用特点和临床用途；了解选择性COX-2抑制剂的代表药、作用特点及临床用途。</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 抗高血压药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spacing w:val="-5"/>
          <w:sz w:val="24"/>
          <w:szCs w:val="24"/>
          <w:lang w:val="en-US" w:eastAsia="zh-CN"/>
        </w:rPr>
        <w:t>抗高血压药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抗高血压药的分类及代表药物；掌握氢氯噻嗪、硝苯地平、普萘洛尔、卡托普利的降压机制、作用特点、临床应用和不良反应；熟悉其他抗高血压药物的作用特点；了解抗高血压药的临床使用原则。</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十一、 抗慢性心功能不全药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抗</w:t>
      </w:r>
      <w:r>
        <w:rPr>
          <w:rFonts w:hint="eastAsia" w:asciiTheme="minorEastAsia" w:hAnsiTheme="minorEastAsia" w:eastAsiaTheme="minorEastAsia" w:cstheme="minorEastAsia"/>
          <w:spacing w:val="-5"/>
          <w:sz w:val="24"/>
          <w:szCs w:val="24"/>
          <w:lang w:val="en-US" w:eastAsia="zh-CN"/>
        </w:rPr>
        <w:t>慢性心功能不全药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考核知识点：掌握抗慢性心功不全药物的分类及常见代表药物；了解强心苷的中毒及防治。</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十二、抗心绞痛药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抗心绞痛药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掌握抗心绞痛药的分类及代表药；掌握硝酸甘油的药动学特点、给药方式、药理作用、作用机制、临床用途与不良反应；掌握硝酸酯类和β受体阻断药在抗心绞痛方面合用的理论依据及注意事项；熟悉β受体阻断药-普萘洛尔、钙通道阻滞药-硝苯地平的抗心绞痛作用特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十三、 呼吸系统药物</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呼</w:t>
      </w:r>
      <w:r>
        <w:rPr>
          <w:rFonts w:hint="eastAsia" w:asciiTheme="minorEastAsia" w:hAnsiTheme="minorEastAsia" w:eastAsiaTheme="minorEastAsia" w:cstheme="minorEastAsia"/>
          <w:spacing w:val="-5"/>
          <w:sz w:val="24"/>
          <w:szCs w:val="24"/>
          <w:lang w:val="en-US" w:eastAsia="zh-CN"/>
        </w:rPr>
        <w:t>吸系统药物</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考核知识点：熟悉平喘药的分类及其代表药物；熟悉镇咳药的分类及代表药物；</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熟悉祛痰药的分类及代表药物。</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十四、消化系统药物</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消化系统药物</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考核知识点：掌握治疗消化性溃疡药的分类及代表药；熟悉其他常见消化系统药物类型及代表药；了解抗幽门螺杆菌的四联疗法用药。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十五、肾上腺皮质激素类药物</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spacing w:val="-5"/>
          <w:sz w:val="24"/>
          <w:szCs w:val="24"/>
          <w:lang w:val="en-US" w:eastAsia="zh-CN"/>
        </w:rPr>
        <w:t>肾上腺皮质激素类药物</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糖皮质激素类药物的生理作用、药理作用、临床用途、不良反应及禁忌症；熟悉氢化可的松、地塞米松的作用特点；熟悉大鼠足趾肿胀抗炎实验的原理与操作要点；了解糖皮质激素的用法和疗程。</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十六、甲状腺激素和抗甲状腺药物</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甲</w:t>
      </w:r>
      <w:r>
        <w:rPr>
          <w:rFonts w:hint="eastAsia" w:asciiTheme="minorEastAsia" w:hAnsiTheme="minorEastAsia" w:eastAsiaTheme="minorEastAsia" w:cstheme="minorEastAsia"/>
          <w:spacing w:val="-5"/>
          <w:sz w:val="24"/>
          <w:szCs w:val="24"/>
          <w:lang w:val="en-US" w:eastAsia="zh-CN"/>
        </w:rPr>
        <w:t>状腺激素和抗甲状腺药物</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考核知识点：掌握抗甲状腺药物的分类及代表药物；熟悉各类代表药物的作用特点。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十七、胰岛素和口服降血糖药物</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胰</w:t>
      </w:r>
      <w:r>
        <w:rPr>
          <w:rFonts w:hint="eastAsia" w:asciiTheme="minorEastAsia" w:hAnsiTheme="minorEastAsia" w:eastAsiaTheme="minorEastAsia" w:cstheme="minorEastAsia"/>
          <w:spacing w:val="-5"/>
          <w:sz w:val="24"/>
          <w:szCs w:val="24"/>
          <w:lang w:val="en-US" w:eastAsia="zh-CN"/>
        </w:rPr>
        <w:t>岛素和口服降血糖药物</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口服降糖药的分类及代表药；熟悉胰岛素的给药方式、药理作用、临床用途、不良反应；熟悉磺酰脲类降糖药的药理作用、临床用途、不良反应；熟悉双胍类降糖药的药理作用、临床用途、不良反应。</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十八、抗菌药物概论</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抗菌药物概论</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r>
        <w:rPr>
          <w:rFonts w:hint="eastAsia" w:asciiTheme="minorEastAsia" w:hAnsiTheme="minorEastAsia" w:eastAsiaTheme="minorEastAsia" w:cstheme="minorEastAsia"/>
          <w:color w:val="0000FF"/>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常用抗菌药物术语如化学治疗、抗生素、抗菌谱、抗菌活性、最低抑菌浓度、最低杀菌浓度、化疗指数、抗生素后效应的概念；熟悉抗菌药物的作用机制与代表药，及细菌的耐药机制；了解抗菌药物的合理应用原则与抗生素滥用的危害性。</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十九、β-内酰胺类抗生素</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β-</w:t>
      </w:r>
      <w:r>
        <w:rPr>
          <w:rFonts w:hint="eastAsia" w:asciiTheme="minorEastAsia" w:hAnsiTheme="minorEastAsia" w:eastAsiaTheme="minorEastAsia" w:cstheme="minorEastAsia"/>
          <w:spacing w:val="-5"/>
          <w:sz w:val="24"/>
          <w:szCs w:val="24"/>
          <w:lang w:val="en-US" w:eastAsia="zh-CN"/>
        </w:rPr>
        <w:t>内酰胺类抗生素</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β-内酰胺类抗生素的抗菌机制和耐药机制；掌握青霉素类药物的分类及各类抗菌作用特点；掌握青霉素G的药理作用（抗菌谱）、临床应用、不良反应及过敏性休克的防治；熟悉四代头孢常见代表药及特点比较；了解非典型β-内酰胺类抗生素的分类及代表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二十、其他类型抗生素</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其</w:t>
      </w:r>
      <w:r>
        <w:rPr>
          <w:rFonts w:hint="eastAsia" w:asciiTheme="minorEastAsia" w:hAnsiTheme="minorEastAsia" w:eastAsiaTheme="minorEastAsia" w:cstheme="minorEastAsia"/>
          <w:spacing w:val="-5"/>
          <w:sz w:val="24"/>
          <w:szCs w:val="24"/>
          <w:lang w:val="en-US" w:eastAsia="zh-CN"/>
        </w:rPr>
        <w:t>他类型抗生素</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考核知识点：掌握大环内酯类、氨基糖苷类、四环素类等的代表药及其主要不良反应，如红霉素、链霉素、四环素、氯霉素等。</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二十一、人工合成抗菌药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人工合成抗菌药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掌握喹诺酮类药物的作用机制、常用药物环丙沙星、氧氟沙星、左氧氟沙星、加替沙星等抗菌作用特点与不良反应；熟悉磺胺类药物的共性，常用药物磺胺嘧啶、磺胺异恶唑等抗菌作用特点；了解磺胺类与甲氧苄啶联合使用的原理；了解甲硝唑的抗菌作用和临床应用。</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二十二、组胺受体阻断药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组胺受体阻断药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考核知识点：熟悉H</w:t>
      </w:r>
      <w:r>
        <w:rPr>
          <w:rFonts w:hint="eastAsia" w:asciiTheme="minorEastAsia" w:hAnsiTheme="minorEastAsia" w:eastAsiaTheme="minorEastAsia" w:cstheme="minorEastAsia"/>
          <w:spacing w:val="-5"/>
          <w:sz w:val="24"/>
          <w:szCs w:val="24"/>
          <w:vertAlign w:val="subscript"/>
          <w:lang w:val="en-US" w:eastAsia="zh-CN"/>
        </w:rPr>
        <w:t>1</w:t>
      </w:r>
      <w:r>
        <w:rPr>
          <w:rFonts w:hint="eastAsia" w:asciiTheme="minorEastAsia" w:hAnsiTheme="minorEastAsia" w:eastAsiaTheme="minorEastAsia" w:cstheme="minorEastAsia"/>
          <w:spacing w:val="-5"/>
          <w:sz w:val="24"/>
          <w:szCs w:val="24"/>
          <w:lang w:val="en-US" w:eastAsia="zh-CN"/>
        </w:rPr>
        <w:t>、H</w:t>
      </w:r>
      <w:r>
        <w:rPr>
          <w:rFonts w:hint="eastAsia" w:asciiTheme="minorEastAsia" w:hAnsiTheme="minorEastAsia" w:eastAsiaTheme="minorEastAsia" w:cstheme="minorEastAsia"/>
          <w:spacing w:val="-5"/>
          <w:sz w:val="24"/>
          <w:szCs w:val="24"/>
          <w:vertAlign w:val="subscript"/>
          <w:lang w:val="en-US" w:eastAsia="zh-CN"/>
        </w:rPr>
        <w:t>2</w:t>
      </w:r>
      <w:r>
        <w:rPr>
          <w:rFonts w:hint="eastAsia" w:asciiTheme="minorEastAsia" w:hAnsiTheme="minorEastAsia" w:eastAsiaTheme="minorEastAsia" w:cstheme="minorEastAsia"/>
          <w:spacing w:val="-5"/>
          <w:sz w:val="24"/>
          <w:szCs w:val="24"/>
          <w:lang w:val="en-US" w:eastAsia="zh-CN"/>
        </w:rPr>
        <w:t>受体阻断药的药理作用、临床应用和不良反应。熟悉常用药物如苯海拉明、异丙嗪、雷尼替丁、法莫替丁等的作用特点。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二十三、抗恶性肿瘤药</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color w:val="0000FF"/>
          <w:spacing w:val="-5"/>
          <w:sz w:val="24"/>
          <w:szCs w:val="24"/>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本</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单元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主要介绍了</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抗</w:t>
      </w:r>
      <w:r>
        <w:rPr>
          <w:rFonts w:hint="eastAsia" w:asciiTheme="minorEastAsia" w:hAnsiTheme="minorEastAsia" w:eastAsiaTheme="minorEastAsia" w:cstheme="minorEastAsia"/>
          <w:spacing w:val="-5"/>
          <w:sz w:val="24"/>
          <w:szCs w:val="24"/>
          <w:lang w:val="en-US" w:eastAsia="zh-CN"/>
        </w:rPr>
        <w:t>恶性肿瘤药</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的分类、代表药物、药理作用、作用机制、不良反应与临床应用等内容。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考核知识点：熟悉抗恶性肿瘤药物的分类、代表药物及主要不良反应；了解抗肿瘤药物联合应用的原则。</w:t>
      </w:r>
    </w:p>
    <w:p>
      <w:pPr>
        <w:keepNext w:val="0"/>
        <w:keepLines w:val="0"/>
        <w:pageBreakBefore w:val="0"/>
        <w:widowControl w:val="0"/>
        <w:kinsoku/>
        <w:wordWrap/>
        <w:overflowPunct/>
        <w:topLinePunct w:val="0"/>
        <w:autoSpaceDE w:val="0"/>
        <w:autoSpaceDN w:val="0"/>
        <w:bidi w:val="0"/>
        <w:adjustRightInd/>
        <w:snapToGrid/>
        <w:spacing w:line="360" w:lineRule="auto"/>
        <w:ind w:firstLine="460" w:firstLineChars="200"/>
        <w:jc w:val="both"/>
        <w:textAlignment w:val="auto"/>
        <w:rPr>
          <w:rFonts w:hint="eastAsia" w:asciiTheme="minorEastAsia" w:hAnsiTheme="minorEastAsia" w:eastAsiaTheme="minorEastAsia" w:cstheme="minorEastAsia"/>
          <w:spacing w:val="-5"/>
          <w:sz w:val="24"/>
          <w:szCs w:val="24"/>
          <w:lang w:val="en-US" w:eastAsia="zh-CN"/>
        </w:rPr>
      </w:pPr>
    </w:p>
    <w:p>
      <w:pPr>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92" w:firstLineChars="200"/>
        <w:textAlignment w:val="auto"/>
        <w:rPr>
          <w:sz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val="en-US" w:eastAsia="zh-CN"/>
        </w:rPr>
        <w:t>一般包括</w:t>
      </w:r>
      <w:r>
        <w:rPr>
          <w:rFonts w:hint="eastAsia"/>
          <w:spacing w:val="3"/>
          <w:sz w:val="24"/>
          <w:lang w:val="en-US" w:eastAsia="zh-CN"/>
        </w:rPr>
        <w:t>单选题、多选题、判断题、简答题、问答题、案例分析题等</w:t>
      </w:r>
      <w:r>
        <w:rPr>
          <w:spacing w:val="3"/>
          <w:sz w:val="24"/>
        </w:rPr>
        <w:t>。</w:t>
      </w:r>
    </w:p>
    <w:p>
      <w:pPr>
        <w:pStyle w:val="3"/>
        <w:spacing w:before="3"/>
        <w:ind w:left="0"/>
        <w:rPr>
          <w:rFonts w:hint="eastAsia" w:ascii="Times New Roman"/>
          <w:sz w:val="22"/>
          <w:lang w:eastAsia="zh-CN"/>
        </w:rPr>
      </w:pPr>
    </w:p>
    <w:sectPr>
      <w:pgSz w:w="11910" w:h="16840"/>
      <w:pgMar w:top="1500" w:right="156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abstractNum w:abstractNumId="1">
    <w:nsid w:val="0FECA56A"/>
    <w:multiLevelType w:val="singleLevel"/>
    <w:tmpl w:val="0FECA56A"/>
    <w:lvl w:ilvl="0" w:tentative="0">
      <w:start w:val="1"/>
      <w:numFmt w:val="chineseCounting"/>
      <w:suff w:val="nothing"/>
      <w:lvlText w:val="%1、"/>
      <w:lvlJc w:val="left"/>
      <w:rPr>
        <w:rFonts w:hint="eastAsia"/>
      </w:rPr>
    </w:lvl>
  </w:abstractNum>
  <w:abstractNum w:abstractNumId="2">
    <w:nsid w:val="296F86ED"/>
    <w:multiLevelType w:val="singleLevel"/>
    <w:tmpl w:val="296F86ED"/>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6EDA"/>
    <w:rsid w:val="010E4DD4"/>
    <w:rsid w:val="0178322F"/>
    <w:rsid w:val="01DC2588"/>
    <w:rsid w:val="021C2189"/>
    <w:rsid w:val="02364BDB"/>
    <w:rsid w:val="029C1544"/>
    <w:rsid w:val="03F6576B"/>
    <w:rsid w:val="047703D7"/>
    <w:rsid w:val="050B37F0"/>
    <w:rsid w:val="05A109F4"/>
    <w:rsid w:val="05AC6692"/>
    <w:rsid w:val="07624C8D"/>
    <w:rsid w:val="09475077"/>
    <w:rsid w:val="094F6D58"/>
    <w:rsid w:val="09524A4F"/>
    <w:rsid w:val="09614DFE"/>
    <w:rsid w:val="0BFE0E41"/>
    <w:rsid w:val="0CBF798F"/>
    <w:rsid w:val="0D526CF4"/>
    <w:rsid w:val="0DFA0E09"/>
    <w:rsid w:val="0F212C74"/>
    <w:rsid w:val="10BB29FE"/>
    <w:rsid w:val="11EA0370"/>
    <w:rsid w:val="11EE0C9B"/>
    <w:rsid w:val="17281D18"/>
    <w:rsid w:val="179C3B45"/>
    <w:rsid w:val="186464D9"/>
    <w:rsid w:val="1A210655"/>
    <w:rsid w:val="1A536FBA"/>
    <w:rsid w:val="1AC01739"/>
    <w:rsid w:val="1B663696"/>
    <w:rsid w:val="1B8C53B9"/>
    <w:rsid w:val="1C383B04"/>
    <w:rsid w:val="1C392A96"/>
    <w:rsid w:val="1DB13957"/>
    <w:rsid w:val="1E6726EC"/>
    <w:rsid w:val="24C84079"/>
    <w:rsid w:val="25975158"/>
    <w:rsid w:val="259E1FFC"/>
    <w:rsid w:val="26B458BE"/>
    <w:rsid w:val="282F58FF"/>
    <w:rsid w:val="2AFD2D84"/>
    <w:rsid w:val="2B743221"/>
    <w:rsid w:val="2C8B39AF"/>
    <w:rsid w:val="2D286DD0"/>
    <w:rsid w:val="2D8E7571"/>
    <w:rsid w:val="34A06BBB"/>
    <w:rsid w:val="34D44EB3"/>
    <w:rsid w:val="355F3A23"/>
    <w:rsid w:val="387070CF"/>
    <w:rsid w:val="3A241142"/>
    <w:rsid w:val="3A8D32A5"/>
    <w:rsid w:val="3BA74BDD"/>
    <w:rsid w:val="3C5454E7"/>
    <w:rsid w:val="3DF56F20"/>
    <w:rsid w:val="3E43050C"/>
    <w:rsid w:val="3EBF2057"/>
    <w:rsid w:val="3EC72E32"/>
    <w:rsid w:val="407821C9"/>
    <w:rsid w:val="40C17106"/>
    <w:rsid w:val="40E60AEC"/>
    <w:rsid w:val="40F33540"/>
    <w:rsid w:val="414614F7"/>
    <w:rsid w:val="41BA7B91"/>
    <w:rsid w:val="42303EE0"/>
    <w:rsid w:val="42922D3F"/>
    <w:rsid w:val="42D341ED"/>
    <w:rsid w:val="45047E67"/>
    <w:rsid w:val="46BD6F73"/>
    <w:rsid w:val="46DB1461"/>
    <w:rsid w:val="47BB312A"/>
    <w:rsid w:val="48025632"/>
    <w:rsid w:val="4A0C2EF1"/>
    <w:rsid w:val="4AB74238"/>
    <w:rsid w:val="4AD64241"/>
    <w:rsid w:val="4D481517"/>
    <w:rsid w:val="4E112FB9"/>
    <w:rsid w:val="503B5BA9"/>
    <w:rsid w:val="507B6B5A"/>
    <w:rsid w:val="516B11F7"/>
    <w:rsid w:val="552E6738"/>
    <w:rsid w:val="56EA4469"/>
    <w:rsid w:val="57D75BF3"/>
    <w:rsid w:val="5A8C136A"/>
    <w:rsid w:val="5ABB0C86"/>
    <w:rsid w:val="5D8D404B"/>
    <w:rsid w:val="60751BB8"/>
    <w:rsid w:val="61785C8A"/>
    <w:rsid w:val="640937AE"/>
    <w:rsid w:val="646445B1"/>
    <w:rsid w:val="68CC1AAE"/>
    <w:rsid w:val="6949608A"/>
    <w:rsid w:val="69A960AC"/>
    <w:rsid w:val="6A092CBD"/>
    <w:rsid w:val="6CC97D49"/>
    <w:rsid w:val="6CE05A59"/>
    <w:rsid w:val="6D382F9F"/>
    <w:rsid w:val="6D5B7F81"/>
    <w:rsid w:val="6EBE03EA"/>
    <w:rsid w:val="710C2451"/>
    <w:rsid w:val="715D5E94"/>
    <w:rsid w:val="73ED0D48"/>
    <w:rsid w:val="764951F0"/>
    <w:rsid w:val="78A05C3B"/>
    <w:rsid w:val="78E52A0F"/>
    <w:rsid w:val="79B56F23"/>
    <w:rsid w:val="79FF7FBF"/>
    <w:rsid w:val="7A215B8F"/>
    <w:rsid w:val="7A565862"/>
    <w:rsid w:val="7BA74238"/>
    <w:rsid w:val="7C1611C9"/>
    <w:rsid w:val="7C256F84"/>
    <w:rsid w:val="7D8C7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paragraph" w:styleId="4">
    <w:name w:val="Body Text Indent"/>
    <w:basedOn w:val="1"/>
    <w:qFormat/>
    <w:uiPriority w:val="0"/>
    <w:pPr>
      <w:spacing w:after="120"/>
      <w:ind w:left="420" w:leftChars="200"/>
    </w:pPr>
  </w:style>
  <w:style w:type="paragraph" w:styleId="5">
    <w:name w:val="Plain Text"/>
    <w:basedOn w:val="1"/>
    <w:uiPriority w:val="99"/>
    <w:rPr>
      <w:rFonts w:ascii="宋体" w:hAnsi="Courier New"/>
      <w:szCs w:val="20"/>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7" w:firstLine="480"/>
    </w:pPr>
    <w:rPr>
      <w:rFonts w:ascii="宋体" w:hAnsi="宋体" w:eastAsia="宋体" w:cs="宋体"/>
      <w:lang w:val="zh-CN" w:eastAsia="zh-CN" w:bidi="zh-CN"/>
    </w:rPr>
  </w:style>
  <w:style w:type="paragraph" w:customStyle="1" w:styleId="13">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71908</cp:lastModifiedBy>
  <dcterms:modified xsi:type="dcterms:W3CDTF">2020-04-16T11:35:58Z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