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cs="黑体"/>
          <w:b/>
          <w:color w:val="000000"/>
          <w:sz w:val="32"/>
          <w:szCs w:val="32"/>
        </w:rPr>
      </w:pPr>
      <w:r>
        <w:rPr>
          <w:rFonts w:hint="eastAsia" w:ascii="黑体" w:hAnsi="黑体" w:eastAsia="黑体" w:cs="黑体"/>
          <w:b/>
          <w:color w:val="000000"/>
          <w:sz w:val="32"/>
          <w:szCs w:val="32"/>
        </w:rPr>
        <w:t>2022年专升本《基础会计学》考试大纲</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一、总纲</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本大纲的制定旨在贯彻国家和安徽省的相关要求，依据有关政策文件，根据“宽口径、厚基础、强能力、高素质”的原则，实现培养</w:t>
      </w:r>
      <w:r>
        <w:rPr>
          <w:rFonts w:hint="eastAsia" w:ascii="仿宋" w:hAnsi="仿宋" w:eastAsia="仿宋" w:cs="仿宋"/>
          <w:sz w:val="28"/>
          <w:szCs w:val="28"/>
        </w:rPr>
        <w:t>会计专业高级</w:t>
      </w:r>
      <w:r>
        <w:rPr>
          <w:rFonts w:hint="eastAsia" w:ascii="仿宋" w:hAnsi="仿宋" w:eastAsia="仿宋" w:cs="仿宋"/>
          <w:color w:val="000000"/>
          <w:sz w:val="28"/>
          <w:szCs w:val="28"/>
        </w:rPr>
        <w:t>应用性人才的目标。考查内容以企业会计账务处理过程为主线，围绕会计的产生发展、职能目标、核算方法、会计对象与要素、会计信息的确认与计量、权责发生制、借贷记账法、企业主要经济业务的核算、账户的分类、会计凭证、会计账簿以及财产清查和财务报告等内容展开。使学生具备过硬的会计综合运用能力的理论基础，掌握一定的会计综合运用技能方法，熟练运用会计记账规则从事会计核算和相应的管理活动。考试以基础会计学相关理论知识为基础，强调课程的综合性和实践应用性，通过对各章节知识要点的扎实掌握，具备相关会计基本理论和从事会计工作的业务技能。</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二、学科考查内容纲要</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（一）考核目标与要求</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本课程考试参考书目：《基础会计》（第七版），陈国辉、迟旭升编著，东北财经大学出版社，20</w:t>
      </w:r>
      <w:r>
        <w:rPr>
          <w:rFonts w:ascii="仿宋" w:hAnsi="仿宋" w:eastAsia="仿宋" w:cs="仿宋"/>
          <w:color w:val="000000"/>
          <w:sz w:val="28"/>
          <w:szCs w:val="28"/>
        </w:rPr>
        <w:t>21</w:t>
      </w:r>
      <w:r>
        <w:rPr>
          <w:rFonts w:hint="eastAsia" w:ascii="仿宋" w:hAnsi="仿宋" w:eastAsia="仿宋" w:cs="仿宋"/>
          <w:color w:val="000000"/>
          <w:sz w:val="28"/>
          <w:szCs w:val="28"/>
        </w:rPr>
        <w:t>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基础会计》课程是会计学专业的核心基础课程，在会计学专业课程体系中有着重要的地位和作用。通过对本课程的相关概念、基本理论、企业主要经济业务的核算以及相关案例的教学，培养学生对会计行业相关领域的学习与探究兴趣，解决现代企业主要经济业务的核算和具体的记账方法等实务操作问题，使得学生具备更为扎实和全面的学科素养。具体包括：</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1.能力目标</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能够从事会计最基本的核算工作；</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能够掌握会计职业的就业能力和会计岗位初步职业判断能力；</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能够完成从填制和审核凭证、设置和登记账簿、编制财务报告一系列会计工作流程；</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能够进行财产清查工作和错账查找工作。</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2.知识目标</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理解会计的概念、职能、目标；掌握会计核算基本前提和会计信息质量特征的具体内容，会计工作流程；</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理解会计要素、会计科目和会计账户；掌握会计等式和借贷记账法；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掌握企业采购业务、生产业务、销售业务等日常核算；</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掌握原始凭证、记账凭证、会计账簿、会计报表的概念、分类和填制；</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掌握财产清查方法。</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3.素质目标</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培养学生良好的职业道德和敬业精神；</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培养学生较强的语言表达、职业沟通和协调能力；</w:t>
      </w:r>
    </w:p>
    <w:p>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培养学生团队合作和妥善处理人际关系素质；</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培养学生自主学习会计新知识和终身学习的态度；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培养学生踏实肯干的工作作风和热情、耐心的服务态度。</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（二）考试范围与要求</w:t>
      </w:r>
    </w:p>
    <w:p>
      <w:pPr>
        <w:spacing w:line="360" w:lineRule="auto"/>
        <w:ind w:firstLine="560" w:firstLineChars="200"/>
        <w:rPr>
          <w:rFonts w:ascii="仿宋" w:hAnsi="仿宋" w:eastAsia="仿宋" w:cs="仿宋"/>
          <w:b/>
          <w:color w:val="000000"/>
          <w:sz w:val="28"/>
          <w:szCs w:val="28"/>
        </w:rPr>
      </w:pPr>
      <w:r>
        <w:rPr>
          <w:rFonts w:hint="eastAsia" w:ascii="仿宋" w:hAnsi="仿宋" w:eastAsia="仿宋" w:cs="仿宋"/>
          <w:color w:val="000000"/>
          <w:sz w:val="28"/>
          <w:szCs w:val="28"/>
        </w:rPr>
        <w:t>考试范围主要围绕基础会计学的基本概念和基本理论、围绕会计的产生发展、职能目标、核算方法、会计对象与要素、会计信息的确认与计量、权责发生制、借贷记账法、企业主要经济业务的核算、账户的分类、会计凭证、会计账簿以及财产清查和财务报告等主要内容展开。具体考查内容如下：</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第一章 总论</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会计的产生与发展</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第二节 会计的含义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会计的含义（一般）</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会计的职能与目标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会计的职能（重点）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会计的目标（重点）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第四节 会计的任务与作用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第五节 会计的方法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会计的方法体系</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会计核算方法</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第二章 会计要素与会计等式</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会计对象</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会计要素</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会计要素的含义（重点）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会计要素的内容（重点）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会计等式</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基本会计等式（重点）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经济业务对基本会计等式的影响（重点）</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第三章 会计核算基础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会计假设</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会计假设的具体内容（重点）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会计信息质量特征</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会计信息质量特征的具体内容</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会计要素确认、计量及其要求 </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会计要素的确认（重点）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会计要素的计量（重点）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会计要素确认与计量的要求（一般）</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收付实现制与权责发生制</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收付实现制</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权责发生制</w:t>
      </w:r>
      <w:r>
        <w:rPr>
          <w:rFonts w:hint="eastAsia" w:ascii="仿宋" w:hAnsi="仿宋" w:eastAsia="仿宋" w:cs="仿宋"/>
          <w:color w:val="000000"/>
          <w:sz w:val="28"/>
          <w:szCs w:val="28"/>
        </w:rPr>
        <w:t>（重点）</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第四章 账户与复式记账</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账户与会计科目</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账户基本结构（一般）</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会计科目的分类（重点）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复式记账原理</w:t>
      </w:r>
      <w:r>
        <w:rPr>
          <w:rFonts w:hint="eastAsia" w:ascii="仿宋" w:hAnsi="仿宋" w:eastAsia="仿宋" w:cs="仿宋"/>
          <w:color w:val="000000"/>
          <w:sz w:val="28"/>
          <w:szCs w:val="28"/>
        </w:rPr>
        <w:t>（重点）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复式记账法（重点）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复式记账法的理论依据（重点）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借贷记账法</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借贷记账法的概念（重点）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借贷记账法下的账户结构（重点）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借贷记账法的记账规则（重点）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账户对应关系与会计分录（重点）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借贷记账法下的试算平衡</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总分类账户和明细分类账户</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总分类账户和明细分类账户之间的关系</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平行登记</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第五章 企业主要经济业务的核算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企业主要经济业务概述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资金筹集业务的核算</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所有者权益筹资业务（重点）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负债筹资业务（重点）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供应过程业务的核算</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固定资产购置业务核算（重点）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材料的采购成本（重点）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采购业务账务处理（重点）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生产过程业务的核算</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生产业务账务处理 （重点）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第五节 销售过程业务的核算</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销售业务账务处理（重点）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第六节 财务成果形成与分配业务的核算</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利润形成的账务处理（重点）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利润分配的账务处理（重点）</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第六章 账户的分类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账户分类的意义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账户按经济内容分类</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账户按经济内容分类</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账户按用途和结构分类</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账户按用途和结构分类</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第七章 成本计算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第一节 成本计算的意义、原理与要求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成本计算的一般程序</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第三节 企业经营过程中的成本计算 </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第八章 会计凭证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会计凭证的作用和种类</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会计凭证的概念与作用</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会计凭证的种类（重点）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原始凭证</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原始凭证的种类（重点）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原始凭证的基本内容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原始凭证的填制要求</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原始凭证的审核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第三节 记账凭证</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记账凭证的种类（重点）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记账凭证的基本内容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记账凭证的填制要求</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记账凭证的审核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第四节 会计凭证的传递与保管</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第九章 会计账簿 </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第一节 账簿的意义与种类</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会计账簿的概念与种类（重点）</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第二节 账簿的设置与登记</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日记账</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分类账</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第三节 账簿的启用与错账更正</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错账查找方法</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错账更正方法（重点）</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第四节 结账与对账</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对账（重点）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结账</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第五节 账簿的更换与保管 </w:t>
      </w:r>
    </w:p>
    <w:p>
      <w:pPr>
        <w:pStyle w:val="4"/>
        <w:widowControl/>
        <w:spacing w:beforeAutospacing="0" w:afterAutospacing="0"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第十章 财产清查 </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第一节 财产清查概述</w:t>
      </w:r>
      <w:r>
        <w:rPr>
          <w:rFonts w:hint="eastAsia" w:ascii="仿宋" w:hAnsi="仿宋" w:eastAsia="仿宋" w:cs="仿宋"/>
          <w:color w:val="000000"/>
          <w:sz w:val="28"/>
          <w:szCs w:val="28"/>
        </w:rPr>
        <w:t>（重点）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财产清查的概念（重点）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财产清查的种类（重点）</w:t>
      </w:r>
    </w:p>
    <w:p>
      <w:pPr>
        <w:spacing w:line="360" w:lineRule="auto"/>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财产清查的准备工作</w:t>
      </w:r>
    </w:p>
    <w:p>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第二节 存货的盘存制度</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永续盘存制</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实地盘存制</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第三节 财产清查的内容和方法</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货币资产</w:t>
      </w:r>
    </w:p>
    <w:p>
      <w:pPr>
        <w:pStyle w:val="4"/>
        <w:widowControl/>
        <w:spacing w:beforeAutospacing="0" w:afterAutospacing="0"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实物资产</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应收款项</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第四节 财产清查结果的处理</w:t>
      </w:r>
      <w:r>
        <w:rPr>
          <w:rFonts w:hint="eastAsia" w:ascii="仿宋" w:hAnsi="仿宋" w:eastAsia="仿宋" w:cs="仿宋"/>
          <w:sz w:val="28"/>
          <w:szCs w:val="28"/>
        </w:rPr>
        <w:t>（重点）</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财产清查结果的会计处理（重点）</w:t>
      </w:r>
    </w:p>
    <w:p>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第十一章 财务报告（一般）</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第一节 财务报告概述</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财务报告的定义与种类</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财务报告的构成</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财务报告编制的基本要求</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第二节 资产负债表</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资产负债表的内容与格式</w:t>
      </w:r>
    </w:p>
    <w:p>
      <w:pPr>
        <w:pStyle w:val="4"/>
        <w:widowControl/>
        <w:spacing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第三节 利润表</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利润表的内容与格式</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第四节 现金流量表 </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现金流量表的编制基础</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 xml:space="preserve">第五节 所有者权益（或股东权益） 变动表 </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第六节 会计报表附注</w:t>
      </w:r>
    </w:p>
    <w:p>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第十二章 会计核算组织程序（一般）</w:t>
      </w:r>
    </w:p>
    <w:p>
      <w:pPr>
        <w:pStyle w:val="4"/>
        <w:widowControl/>
        <w:numPr>
          <w:ilvl w:val="0"/>
          <w:numId w:val="1"/>
        </w:numPr>
        <w:spacing w:beforeAutospacing="0" w:afterAutospacing="0" w:line="360" w:lineRule="auto"/>
        <w:ind w:left="0"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会计核算组织程序概述</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会计核算组织程序的概念</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会计循环</w:t>
      </w:r>
    </w:p>
    <w:p>
      <w:pPr>
        <w:pStyle w:val="4"/>
        <w:widowControl/>
        <w:numPr>
          <w:ilvl w:val="0"/>
          <w:numId w:val="1"/>
        </w:numPr>
        <w:spacing w:beforeAutospacing="0" w:afterAutospacing="0" w:line="360" w:lineRule="auto"/>
        <w:ind w:left="0"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记账凭证核算组织程序</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一般步骤</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记账凭证核算组织程序的评价</w:t>
      </w:r>
    </w:p>
    <w:p>
      <w:pPr>
        <w:pStyle w:val="4"/>
        <w:widowControl/>
        <w:numPr>
          <w:ilvl w:val="0"/>
          <w:numId w:val="1"/>
        </w:numPr>
        <w:spacing w:beforeAutospacing="0" w:afterAutospacing="0" w:line="360" w:lineRule="auto"/>
        <w:ind w:left="0" w:firstLine="560" w:firstLineChars="200"/>
        <w:rPr>
          <w:rFonts w:ascii="仿宋" w:hAnsi="仿宋" w:eastAsia="仿宋" w:cs="仿宋"/>
          <w:sz w:val="28"/>
          <w:szCs w:val="28"/>
        </w:rPr>
      </w:pPr>
      <w:r>
        <w:rPr>
          <w:rFonts w:hint="eastAsia" w:ascii="仿宋" w:hAnsi="仿宋" w:eastAsia="仿宋" w:cs="仿宋"/>
          <w:color w:val="333333"/>
          <w:sz w:val="28"/>
          <w:szCs w:val="28"/>
          <w:shd w:val="clear" w:color="auto" w:fill="FFFFFF"/>
        </w:rPr>
        <w:t>科目汇总表核算组织程序</w:t>
      </w:r>
      <w:r>
        <w:rPr>
          <w:rFonts w:hint="eastAsia" w:ascii="仿宋" w:hAnsi="仿宋" w:eastAsia="仿宋" w:cs="仿宋"/>
          <w:sz w:val="28"/>
          <w:szCs w:val="28"/>
        </w:rPr>
        <w:t>一般步骤</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科目汇总表核算组织程序的评价</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第四节 汇总记账凭证核算组织程序</w:t>
      </w:r>
    </w:p>
    <w:p>
      <w:pPr>
        <w:pStyle w:val="4"/>
        <w:widowControl/>
        <w:spacing w:beforeAutospacing="0" w:afterAutospacing="0" w:line="360" w:lineRule="auto"/>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第五节 日记总账核算组织程序</w:t>
      </w:r>
    </w:p>
    <w:p>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第十三章 会计软件应用基础 （略）</w:t>
      </w:r>
    </w:p>
    <w:p>
      <w:pPr>
        <w:pStyle w:val="4"/>
        <w:widowControl/>
        <w:spacing w:beforeAutospacing="0" w:afterAutospacing="0" w:line="360" w:lineRule="auto"/>
        <w:ind w:firstLine="562" w:firstLineChars="200"/>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第十四章 会计工作组织（略）</w:t>
      </w:r>
    </w:p>
    <w:p>
      <w:pPr>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三、试卷结构</w:t>
      </w:r>
    </w:p>
    <w:p>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（试卷总分为150分）</w:t>
      </w: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368"/>
        <w:gridCol w:w="2369"/>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39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c>
          <w:tcPr>
            <w:tcW w:w="1390" w:type="pct"/>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390" w:type="pct"/>
          </w:tcPr>
          <w:p>
            <w:pPr>
              <w:spacing w:line="360" w:lineRule="auto"/>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p>
        </w:tc>
        <w:tc>
          <w:tcPr>
            <w:tcW w:w="1390" w:type="pct"/>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39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c>
          <w:tcPr>
            <w:tcW w:w="1390" w:type="pct"/>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39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390" w:type="pct"/>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计算题</w:t>
            </w:r>
          </w:p>
        </w:tc>
        <w:tc>
          <w:tcPr>
            <w:tcW w:w="1390"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390" w:type="pct"/>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389" w:type="pct"/>
          </w:tcPr>
          <w:p>
            <w:pPr>
              <w:spacing w:line="360" w:lineRule="auto"/>
              <w:jc w:val="center"/>
              <w:rPr>
                <w:rFonts w:ascii="仿宋" w:hAnsi="仿宋" w:eastAsia="仿宋" w:cs="仿宋"/>
                <w:sz w:val="28"/>
                <w:szCs w:val="28"/>
              </w:rPr>
            </w:pPr>
            <w:r>
              <w:rPr>
                <w:rFonts w:hint="eastAsia" w:ascii="仿宋" w:hAnsi="仿宋" w:eastAsia="仿宋" w:cs="仿宋"/>
                <w:sz w:val="28"/>
                <w:szCs w:val="28"/>
              </w:rPr>
              <w:t>业务题</w:t>
            </w:r>
          </w:p>
        </w:tc>
        <w:tc>
          <w:tcPr>
            <w:tcW w:w="1390" w:type="pct"/>
          </w:tcPr>
          <w:p>
            <w:pPr>
              <w:spacing w:line="360" w:lineRule="auto"/>
              <w:jc w:val="cente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p>
        </w:tc>
        <w:tc>
          <w:tcPr>
            <w:tcW w:w="1390" w:type="pct"/>
          </w:tcPr>
          <w:p>
            <w:pPr>
              <w:spacing w:line="36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40</w:t>
            </w:r>
          </w:p>
        </w:tc>
      </w:tr>
    </w:tbl>
    <w:p>
      <w:pPr>
        <w:spacing w:line="480" w:lineRule="auto"/>
        <w:jc w:val="left"/>
        <w:rPr>
          <w:rFonts w:ascii="仿宋" w:hAnsi="仿宋" w:eastAsia="仿宋" w:cs="仿宋"/>
          <w:sz w:val="28"/>
          <w:szCs w:val="28"/>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457482"/>
    <w:multiLevelType w:val="multilevel"/>
    <w:tmpl w:val="4A457482"/>
    <w:lvl w:ilvl="0" w:tentative="0">
      <w:start w:val="1"/>
      <w:numFmt w:val="japaneseCounting"/>
      <w:lvlText w:val="第%1节"/>
      <w:lvlJc w:val="left"/>
      <w:pPr>
        <w:tabs>
          <w:tab w:val="left" w:pos="1320"/>
        </w:tabs>
        <w:ind w:left="1320" w:hanging="840"/>
      </w:pPr>
      <w:rPr>
        <w:rFonts w:hint="default" w:cs="Helvetica"/>
        <w:color w:val="333333"/>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7E"/>
    <w:rsid w:val="00036607"/>
    <w:rsid w:val="00072356"/>
    <w:rsid w:val="000C382E"/>
    <w:rsid w:val="000D1B1C"/>
    <w:rsid w:val="000D3940"/>
    <w:rsid w:val="000F5089"/>
    <w:rsid w:val="00152777"/>
    <w:rsid w:val="001B3DCB"/>
    <w:rsid w:val="001E6A5E"/>
    <w:rsid w:val="001F39F1"/>
    <w:rsid w:val="00211862"/>
    <w:rsid w:val="002170E8"/>
    <w:rsid w:val="0024340A"/>
    <w:rsid w:val="0028714F"/>
    <w:rsid w:val="003267EA"/>
    <w:rsid w:val="003311A9"/>
    <w:rsid w:val="00341F54"/>
    <w:rsid w:val="00343A89"/>
    <w:rsid w:val="003671E7"/>
    <w:rsid w:val="003904CD"/>
    <w:rsid w:val="003C2DD4"/>
    <w:rsid w:val="003C6C54"/>
    <w:rsid w:val="00400020"/>
    <w:rsid w:val="00415236"/>
    <w:rsid w:val="00465B60"/>
    <w:rsid w:val="00472C3A"/>
    <w:rsid w:val="004A2CE7"/>
    <w:rsid w:val="005227B8"/>
    <w:rsid w:val="005264BA"/>
    <w:rsid w:val="00552C3C"/>
    <w:rsid w:val="00586B36"/>
    <w:rsid w:val="00591094"/>
    <w:rsid w:val="00644899"/>
    <w:rsid w:val="006558BB"/>
    <w:rsid w:val="00660C6D"/>
    <w:rsid w:val="006B37A4"/>
    <w:rsid w:val="006D7A75"/>
    <w:rsid w:val="006E4CB9"/>
    <w:rsid w:val="00706FBE"/>
    <w:rsid w:val="00723B65"/>
    <w:rsid w:val="007277BF"/>
    <w:rsid w:val="00733966"/>
    <w:rsid w:val="00743DF4"/>
    <w:rsid w:val="00750ECF"/>
    <w:rsid w:val="007522FF"/>
    <w:rsid w:val="00775104"/>
    <w:rsid w:val="007B4B95"/>
    <w:rsid w:val="008158C2"/>
    <w:rsid w:val="008518E3"/>
    <w:rsid w:val="00870086"/>
    <w:rsid w:val="008744F2"/>
    <w:rsid w:val="00890BBF"/>
    <w:rsid w:val="008C5C7E"/>
    <w:rsid w:val="008E1580"/>
    <w:rsid w:val="00900AB5"/>
    <w:rsid w:val="00936DB1"/>
    <w:rsid w:val="00941388"/>
    <w:rsid w:val="0097242A"/>
    <w:rsid w:val="009842D6"/>
    <w:rsid w:val="009B50BC"/>
    <w:rsid w:val="009C5F8F"/>
    <w:rsid w:val="009D430C"/>
    <w:rsid w:val="009E40C3"/>
    <w:rsid w:val="009F5B16"/>
    <w:rsid w:val="00A547E0"/>
    <w:rsid w:val="00B35108"/>
    <w:rsid w:val="00B63863"/>
    <w:rsid w:val="00B819AA"/>
    <w:rsid w:val="00B82EDB"/>
    <w:rsid w:val="00BB10CB"/>
    <w:rsid w:val="00C46429"/>
    <w:rsid w:val="00C85A1A"/>
    <w:rsid w:val="00C96767"/>
    <w:rsid w:val="00CD6558"/>
    <w:rsid w:val="00CE1607"/>
    <w:rsid w:val="00D2378D"/>
    <w:rsid w:val="00D71C56"/>
    <w:rsid w:val="00D854E7"/>
    <w:rsid w:val="00DA1704"/>
    <w:rsid w:val="00DA45E1"/>
    <w:rsid w:val="00DE3E40"/>
    <w:rsid w:val="00E3609C"/>
    <w:rsid w:val="00E718A0"/>
    <w:rsid w:val="00EB0F9A"/>
    <w:rsid w:val="00F10DAE"/>
    <w:rsid w:val="00F33A0F"/>
    <w:rsid w:val="00F348F1"/>
    <w:rsid w:val="00F41D3F"/>
    <w:rsid w:val="00F45DEA"/>
    <w:rsid w:val="00F54CCB"/>
    <w:rsid w:val="00F63EDB"/>
    <w:rsid w:val="00F81455"/>
    <w:rsid w:val="00F93DA4"/>
    <w:rsid w:val="00FA1C38"/>
    <w:rsid w:val="00FA7F42"/>
    <w:rsid w:val="00FF0276"/>
    <w:rsid w:val="0108005E"/>
    <w:rsid w:val="04FE7453"/>
    <w:rsid w:val="052A55CE"/>
    <w:rsid w:val="07D9248E"/>
    <w:rsid w:val="0C6D4559"/>
    <w:rsid w:val="105051BA"/>
    <w:rsid w:val="10684696"/>
    <w:rsid w:val="107D7A47"/>
    <w:rsid w:val="11E2573C"/>
    <w:rsid w:val="13DE7E3A"/>
    <w:rsid w:val="14E97F53"/>
    <w:rsid w:val="192E042F"/>
    <w:rsid w:val="19554DD0"/>
    <w:rsid w:val="19626C30"/>
    <w:rsid w:val="19824B01"/>
    <w:rsid w:val="1DF36A30"/>
    <w:rsid w:val="21241EB6"/>
    <w:rsid w:val="22D27C76"/>
    <w:rsid w:val="23F61A65"/>
    <w:rsid w:val="27164EE1"/>
    <w:rsid w:val="29F231A4"/>
    <w:rsid w:val="2BA81F47"/>
    <w:rsid w:val="2CAD271D"/>
    <w:rsid w:val="332416CB"/>
    <w:rsid w:val="387B2F7A"/>
    <w:rsid w:val="3BE47616"/>
    <w:rsid w:val="3F642F5B"/>
    <w:rsid w:val="43D21FB8"/>
    <w:rsid w:val="4AC115E4"/>
    <w:rsid w:val="4B6C4990"/>
    <w:rsid w:val="4CD44E87"/>
    <w:rsid w:val="4E610E17"/>
    <w:rsid w:val="4F2277D7"/>
    <w:rsid w:val="53F96523"/>
    <w:rsid w:val="54E40BD0"/>
    <w:rsid w:val="579465FB"/>
    <w:rsid w:val="5E883C78"/>
    <w:rsid w:val="5FAD5C60"/>
    <w:rsid w:val="60485AEE"/>
    <w:rsid w:val="605079AC"/>
    <w:rsid w:val="62E13B03"/>
    <w:rsid w:val="667F2F06"/>
    <w:rsid w:val="66D76C7A"/>
    <w:rsid w:val="68703BEB"/>
    <w:rsid w:val="688564F1"/>
    <w:rsid w:val="68B118A8"/>
    <w:rsid w:val="6AC000ED"/>
    <w:rsid w:val="6E523D1C"/>
    <w:rsid w:val="70866624"/>
    <w:rsid w:val="70BC5AA2"/>
    <w:rsid w:val="70DE4D76"/>
    <w:rsid w:val="714F54E8"/>
    <w:rsid w:val="75A03B43"/>
    <w:rsid w:val="75E21257"/>
    <w:rsid w:val="7B2C3632"/>
    <w:rsid w:val="7B90341D"/>
    <w:rsid w:val="7D320354"/>
    <w:rsid w:val="7E0D38E2"/>
    <w:rsid w:val="7E514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473</Words>
  <Characters>2697</Characters>
  <Lines>22</Lines>
  <Paragraphs>6</Paragraphs>
  <TotalTime>8</TotalTime>
  <ScaleCrop>false</ScaleCrop>
  <LinksUpToDate>false</LinksUpToDate>
  <CharactersWithSpaces>3164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2022-02-25T08:40:00Z</dcterms:created>
  <dc:creator>刘天明</dc:creator>
  <cp:lastModifiedBy>李哲源</cp:lastModifiedBy>
  <dcterms:modified xsi:type="dcterms:W3CDTF">2022-03-04T06:29:29Z</dcterms:modified>
  <dc:title>安徽财经大学商学院2019年专升本会计学专业招生考试大纲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3BE14115BC5249ECB8A46516B02796C8</vt:lpwstr>
  </property>
</Properties>
</file>