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科目一：</w:t>
      </w: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科目二：</w:t>
      </w:r>
    </w:p>
    <w:p>
      <w:pPr>
        <w:pStyle w:val="3"/>
        <w:autoSpaceDE w:val="0"/>
        <w:autoSpaceDN w:val="0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  <w:t>工程项目管理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考试目标与要求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《工程项目管理》科目旨在考核考生对工程项目及工程项目管理的概念及规律、工程项目管理中进度和质量及成本等各方面问题、工期和进度的计算方法等知识掌握水平，考察考生分析问题、解决问题及综合知识运用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要求考生理解和掌握工程项目管理的基本概念、基本理论和基本方法，熟悉工程项目管理中进度、质量和成本三大目标间的关系，能运用工程项目管理知识进行案例分析，熟练工期进度等方面的计算，具备分析问题和解决问题的基本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参照教材《工程项目管理原理与案例（第三版）》（王卓甫,杨高升主编，中国水利水电出版社，2014年第三版），确定该科目专升本招生考试的考核目标与要求。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工程项目管理是以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工程项目管理相关概念，以及工程项目投资决策与立项、工程项目发包与组织策划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为基础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阐述了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工程项目实施过程中的工程招标与合同管理、进度管理、投资管理、质量管理、安全管理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分别介绍了工程项目风险管理、工程项目收尾管理和工程项目审计与后评价等3个专门问题。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通过测试，要求学生掌握工程管理项目管理的基本知识，工程项目实施过程中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的基本理论及方法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工程项目风险管理、工程项目收尾管理和工程项目审计与后评价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基本知识。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能够具备正确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运用工程项目管理知识解决相关工程管理问题的能力。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绪论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项目的内涵与特点（重点）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工程项目的内涵与特殊性、工程项目的分解（重点）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）工程项目生命周期与建设一般程序（重点）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）项目管理知识体系及过程（一般）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）工程项目类型、工程项目利益相关方（一般）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工程项目投资决策与立项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）工程项目可行性研究主要内容及作用（重点）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）工程项目决策的概念与主体（次重点）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）我国现行工程项目立项制度（次重点）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）工程项目评价的内容（一般）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工程项目发包与组织策划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）工程项目经典发包方式及其特点、业主方项目管理方式（重点）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）工程项目管理常见组织结构及其特点（重点）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）工程项目管理组织策划主要内容（次重点）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）管理工作流程策划内容及工作流程图（次重点）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工程项目招标与合同管理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）工程项目招标内涵及其主要方式（重点）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）工程项目招标策划的主要内容（含招标方式、招标范围及标准、招标程序）（重点）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（3）工程项目合同类型及其特点（重点）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（4）现行法律法规对我国工程招标实施的相关规定（含招标文件主要内容、资格审查类型、评标方法与标准、投标保证金和履约保证金、关键时间节点等）（重点）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）工程变更、索赔的概念、内容与程序（重点）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）《建设工程施工合同（示范文本）》中相关规定（含项目参与各方权责规定、开工通知、施工组织设计、隐蔽工程检查、不可抗力、合同分包）（次重点）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）标准施工合同文件的组织及解释优先次序（次重点）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工程项目进度管理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）工程项目活动的概念及具体设计（重点）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）工程项目进度计划的表示方法（重点）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）双代号网络图的绘制（重点）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）基于双代号网络图的时间参数计算（六时标法）（重点）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）关键线路、关键活动的概念及作用（重点）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）进度计划检查与偏差分析方法（重点）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）进度控制措施（次重点）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）工程进度影响因素（次重点）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）进度计划的优化类型（一般）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）投资、工程造价的含义、工程项目投资的概念及其构成（重点）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）工程估价文件的类型及其区别与作用（重点）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）投资控制要点及设计阶段投资控制方法（重点）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）施工阶段按合同规定支付工程款的计算（重点）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）工程投资计划的编制方法（次重点）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）决策、招标和施工阶段投资控制主要环节或内容（一般）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工程项目质量管理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）质量、工程项目质量的概念及特点（重点）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）工程项目质量影响因素（重点）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）施工质量控制点的含义及其设置原则（重点）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）工程项目质量控制概念及全面质量控制（PDCA循环）（重点）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）质量管理的原则及过程模式（次重点）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）质量控制体系（组织体系、过程体系和对象体系）及设计、施工阶段质量控制要点（次重点）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）工程项目质量计划的概念及设计、施工阶段质量计划内容（一般）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）工程项目施工质量验收的组织（一般）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工程项目安全管理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）工程项目安全的内涵（重点）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）工程项目安全事故分类、事故诱因及特点（重点）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）工程项目各项安全计划及事故应急预案（次重点）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）工程项目安全控制内容（一般）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工程项目风险管理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）风险、风险管理的内涵、风险管理过程、风险分类（重点）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）风险应对的一般策略及措施（次重点）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）风险分配的一般原则（次重点）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）风险识别、估计和评价方法（一般）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10.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工程项目收尾管理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）工程项目竣工验收的概念与作用（重点）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）房屋建筑工程、水利工程竣工验收程序、条件和依据（次重点）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）工程项目投产准备工作的主要内容（一般）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工程项目审计与后评价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）工程项目后评价与项目评价的区别（次重点）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）工程项目后评价的作用、方法（次重点）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）工程项目审计的内涵及类型（一般）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>考试教材与参考书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1．教材：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王卓甫,杨高升主编《工程项目管理原理与案例》(第三版)，中国水利水电出版社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2014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2．参考书：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杨霖华、吕依然编，《建设工程项目管理》，清华大学出版社，2019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（2）中国建筑业协会工程项目管理委员会主编《中国工程项目管理知识体系》（第二版），中国建筑工业出版社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2011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default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Theme="minorEastAsia" w:hAnsiTheme="minorEastAsia" w:cstheme="minorEastAsia"/>
          <w:spacing w:val="3"/>
          <w:sz w:val="24"/>
          <w:szCs w:val="24"/>
          <w:highlight w:val="none"/>
          <w:lang w:val="en-US" w:eastAsia="zh-CN"/>
        </w:rPr>
        <w:t>填空题、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选择题、简答题、名词解释、判断题、案例分析、计算题等。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default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499B6F77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895203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瓜瓜</cp:lastModifiedBy>
  <dcterms:modified xsi:type="dcterms:W3CDTF">2022-02-25T06:06:40Z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DEB8382500FC402EAC4DD3635EE399B0</vt:lpwstr>
  </property>
</Properties>
</file>