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4CD" w:rsidRDefault="00BB10CB">
      <w:pPr>
        <w:spacing w:line="480" w:lineRule="auto"/>
        <w:jc w:val="center"/>
        <w:rPr>
          <w:rFonts w:ascii="黑体" w:eastAsia="黑体" w:hAnsi="黑体" w:cs="黑体"/>
          <w:b/>
          <w:color w:val="000000"/>
          <w:sz w:val="32"/>
          <w:szCs w:val="32"/>
        </w:rPr>
      </w:pPr>
      <w:r>
        <w:rPr>
          <w:rFonts w:ascii="黑体" w:eastAsia="黑体" w:hAnsi="黑体" w:cs="黑体" w:hint="eastAsia"/>
          <w:b/>
          <w:color w:val="000000"/>
          <w:sz w:val="32"/>
          <w:szCs w:val="32"/>
        </w:rPr>
        <w:t>202</w:t>
      </w:r>
      <w:r w:rsidR="009F76A3">
        <w:rPr>
          <w:rFonts w:ascii="黑体" w:eastAsia="黑体" w:hAnsi="黑体" w:cs="黑体" w:hint="eastAsia"/>
          <w:b/>
          <w:color w:val="000000"/>
          <w:sz w:val="32"/>
          <w:szCs w:val="32"/>
        </w:rPr>
        <w:t>3</w:t>
      </w:r>
      <w:r>
        <w:rPr>
          <w:rFonts w:ascii="黑体" w:eastAsia="黑体" w:hAnsi="黑体" w:cs="黑体" w:hint="eastAsia"/>
          <w:b/>
          <w:color w:val="000000"/>
          <w:sz w:val="32"/>
          <w:szCs w:val="32"/>
        </w:rPr>
        <w:t>年专升本《基础会计学》考试大纲</w:t>
      </w:r>
    </w:p>
    <w:p w:rsidR="003904CD" w:rsidRDefault="00BB10CB">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一、总纲</w:t>
      </w:r>
    </w:p>
    <w:p w:rsidR="003904CD" w:rsidRDefault="00BB10CB">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rsidR="003904CD" w:rsidRDefault="00BB10CB">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本大纲旨在规定课程学习和考试的内容和范围，是实施课程考试的重要依据，也是指导学生高效学习的纲领性文件，有助于考试标准的规范化和具体化。</w:t>
      </w:r>
    </w:p>
    <w:p w:rsidR="003904CD" w:rsidRDefault="00BB10CB">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本大纲的制定旨在贯彻国家和安徽省的相关要求，依据有关政策文件，根据“宽口径、厚基础、强能力、高素质”的原则，实现培养</w:t>
      </w:r>
      <w:r>
        <w:rPr>
          <w:rFonts w:ascii="仿宋" w:eastAsia="仿宋" w:hAnsi="仿宋" w:cs="仿宋" w:hint="eastAsia"/>
          <w:sz w:val="28"/>
          <w:szCs w:val="28"/>
        </w:rPr>
        <w:t>会计专业高级</w:t>
      </w:r>
      <w:r>
        <w:rPr>
          <w:rFonts w:ascii="仿宋" w:eastAsia="仿宋" w:hAnsi="仿宋" w:cs="仿宋" w:hint="eastAsia"/>
          <w:color w:val="000000"/>
          <w:sz w:val="28"/>
          <w:szCs w:val="28"/>
        </w:rPr>
        <w:t>应用性人才的目标。考查内容以企业会计账务处理过程为主线，围绕会计的产生发展、职能目标、核算方法、会计对象与要素、会计信息的确认与计量、权责发生制、借贷记账法、企业主要经济业务的核算、账户的分类、会计凭证、会计账簿以及财产清查和财务报告等内容展开。使学生具备过硬的会计综合运用能力的理论基础，掌握一定的会计综合运用技能方法，熟练运用会计记账规则从事会计核算和相应的管理活动。考试以基础会计学相关理论知识为基础，强调课程的综合性和实践应用性，通过对各章节知识要点的扎实掌握，具备相关会计基本理论和从事会计工作的业务技能。</w:t>
      </w:r>
    </w:p>
    <w:p w:rsidR="003904CD" w:rsidRDefault="00BB10CB">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lastRenderedPageBreak/>
        <w:t>二、学科考查内容纲要</w:t>
      </w:r>
    </w:p>
    <w:p w:rsidR="003904CD" w:rsidRDefault="00BB10CB">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（一）考核目标与要求</w:t>
      </w:r>
    </w:p>
    <w:p w:rsidR="003904CD" w:rsidRDefault="00BB10CB">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本课程考试参考书目：《基础会计》（第</w:t>
      </w:r>
      <w:r w:rsidR="00936DB1">
        <w:rPr>
          <w:rFonts w:ascii="仿宋" w:eastAsia="仿宋" w:hAnsi="仿宋" w:cs="仿宋" w:hint="eastAsia"/>
          <w:color w:val="000000"/>
          <w:sz w:val="28"/>
          <w:szCs w:val="28"/>
        </w:rPr>
        <w:t>七</w:t>
      </w:r>
      <w:r>
        <w:rPr>
          <w:rFonts w:ascii="仿宋" w:eastAsia="仿宋" w:hAnsi="仿宋" w:cs="仿宋" w:hint="eastAsia"/>
          <w:color w:val="000000"/>
          <w:sz w:val="28"/>
          <w:szCs w:val="28"/>
        </w:rPr>
        <w:t>版），陈国辉、迟旭升编著，东北财经大学出版社，20</w:t>
      </w:r>
      <w:r w:rsidR="00936DB1">
        <w:rPr>
          <w:rFonts w:ascii="仿宋" w:eastAsia="仿宋" w:hAnsi="仿宋" w:cs="仿宋"/>
          <w:color w:val="000000"/>
          <w:sz w:val="28"/>
          <w:szCs w:val="28"/>
        </w:rPr>
        <w:t>21</w:t>
      </w:r>
      <w:r>
        <w:rPr>
          <w:rFonts w:ascii="仿宋" w:eastAsia="仿宋" w:hAnsi="仿宋" w:cs="仿宋" w:hint="eastAsia"/>
          <w:color w:val="000000"/>
          <w:sz w:val="28"/>
          <w:szCs w:val="28"/>
        </w:rPr>
        <w:t>年</w:t>
      </w:r>
      <w:r w:rsidR="009A7863">
        <w:rPr>
          <w:rFonts w:ascii="仿宋" w:eastAsia="仿宋" w:hAnsi="仿宋" w:cs="仿宋" w:hint="eastAsia"/>
          <w:color w:val="000000"/>
          <w:sz w:val="28"/>
          <w:szCs w:val="28"/>
        </w:rPr>
        <w:t>。</w:t>
      </w:r>
    </w:p>
    <w:p w:rsidR="003904CD" w:rsidRDefault="00BB10C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《基础会计</w:t>
      </w:r>
      <w:r w:rsidR="00826E2C">
        <w:rPr>
          <w:rFonts w:ascii="仿宋" w:eastAsia="仿宋" w:hAnsi="仿宋" w:cs="仿宋" w:hint="eastAsia"/>
          <w:sz w:val="28"/>
          <w:szCs w:val="28"/>
        </w:rPr>
        <w:t>学</w:t>
      </w:r>
      <w:r>
        <w:rPr>
          <w:rFonts w:ascii="仿宋" w:eastAsia="仿宋" w:hAnsi="仿宋" w:cs="仿宋" w:hint="eastAsia"/>
          <w:sz w:val="28"/>
          <w:szCs w:val="28"/>
        </w:rPr>
        <w:t>》课程是会计学专业的核心</w:t>
      </w:r>
      <w:r w:rsidR="00C538E7">
        <w:rPr>
          <w:rFonts w:ascii="仿宋" w:eastAsia="仿宋" w:hAnsi="仿宋" w:cs="仿宋" w:hint="eastAsia"/>
          <w:sz w:val="28"/>
          <w:szCs w:val="28"/>
        </w:rPr>
        <w:t>专业</w:t>
      </w:r>
      <w:r>
        <w:rPr>
          <w:rFonts w:ascii="仿宋" w:eastAsia="仿宋" w:hAnsi="仿宋" w:cs="仿宋" w:hint="eastAsia"/>
          <w:sz w:val="28"/>
          <w:szCs w:val="28"/>
        </w:rPr>
        <w:t>基础课程，在会计学专业课程体系中有着重要的地位和作用。通过对本课程的相关概念、基本理论、企业主要经济业务的核算以及相关案例的教学，培养学生对会计行业相关领域的学习与探究兴趣，解决现代企业主要经济业务的核算和具体的记账方法等实务操作问题，使得学生具备更为扎实和全面的学科素养。具体包括：</w:t>
      </w:r>
    </w:p>
    <w:p w:rsidR="003904CD" w:rsidRDefault="00BB10CB">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1.能力目标</w:t>
      </w:r>
    </w:p>
    <w:p w:rsidR="003904CD" w:rsidRDefault="00BB10CB">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能够从事会计最基本的核算工作；</w:t>
      </w:r>
    </w:p>
    <w:p w:rsidR="003904CD" w:rsidRDefault="00BB10CB">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能够掌握会计职业的就业能力和会计岗位初步职业判断能力；</w:t>
      </w:r>
    </w:p>
    <w:p w:rsidR="003904CD" w:rsidRDefault="00BB10CB">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能够完成从填制和审核凭证、设置和登记账簿、编制财务报告一系列会计工作流程；</w:t>
      </w:r>
    </w:p>
    <w:p w:rsidR="003904CD" w:rsidRDefault="00BB10CB">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能够进行财产清查工作和错账查找工作。</w:t>
      </w:r>
    </w:p>
    <w:p w:rsidR="003904CD" w:rsidRDefault="00BB10CB">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2.知识目标</w:t>
      </w:r>
    </w:p>
    <w:p w:rsidR="003904CD" w:rsidRDefault="00BB10CB">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理解会计的概念、职能、目标；掌握会计核算基本前提和会计信息质量特征的具体内容，会计工作流程；</w:t>
      </w:r>
    </w:p>
    <w:p w:rsidR="003904CD" w:rsidRDefault="00BB10CB">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理解会计要素、会计科目和会计账户；掌握会计等式和借贷记账法；</w:t>
      </w:r>
    </w:p>
    <w:p w:rsidR="003904CD" w:rsidRDefault="00BB10CB">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掌握企业采购业务、生产业务、销售业务等日常核算；</w:t>
      </w:r>
    </w:p>
    <w:p w:rsidR="003904CD" w:rsidRDefault="00BB10CB">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lastRenderedPageBreak/>
        <w:t>掌握原始凭证、记账凭证、会计账簿、会计报表的概念、分类和填制；</w:t>
      </w:r>
    </w:p>
    <w:p w:rsidR="003904CD" w:rsidRDefault="00BB10CB">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掌握财产清查方法。</w:t>
      </w:r>
    </w:p>
    <w:p w:rsidR="003904CD" w:rsidRDefault="00BB10CB">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3.素质目标</w:t>
      </w:r>
    </w:p>
    <w:p w:rsidR="003904CD" w:rsidRDefault="00BB10CB">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培养学生良好的职业道德和敬业精神；</w:t>
      </w:r>
    </w:p>
    <w:p w:rsidR="003904CD" w:rsidRDefault="00BB10CB">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培养学生较强的语言表达、职业沟通和协调能力；</w:t>
      </w:r>
    </w:p>
    <w:p w:rsidR="003904CD" w:rsidRDefault="00BB10CB">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培养学生团队合作和妥善处理人际关系素质；</w:t>
      </w:r>
    </w:p>
    <w:p w:rsidR="003904CD" w:rsidRDefault="00BB10CB">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培养学生自主学习会计新知识和终身学习的态度；</w:t>
      </w:r>
    </w:p>
    <w:p w:rsidR="003904CD" w:rsidRDefault="00BB10CB">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培养学生踏实肯干的工作作风和热情、耐心的服务态度。</w:t>
      </w:r>
    </w:p>
    <w:p w:rsidR="003904CD" w:rsidRDefault="00BB10CB">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（二）考试范围与要求</w:t>
      </w:r>
    </w:p>
    <w:p w:rsidR="003904CD" w:rsidRDefault="00BB10CB">
      <w:pPr>
        <w:spacing w:line="360" w:lineRule="auto"/>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考试范围主要围绕基础会计学的基本概念和基本理论、围绕会计的产生发展、职能目标、核算方法、会计对象与要素、会计信息的确认与计量、权责发生制、借贷记账法、企业主要经济业务的核算、账户的分类、会计凭证、会计账簿以及财产清查和财务报告等主要内容展开。具体考查内容如下：</w:t>
      </w:r>
    </w:p>
    <w:p w:rsidR="003904CD" w:rsidRDefault="00BB10CB">
      <w:pPr>
        <w:pStyle w:val="a4"/>
        <w:widowControl/>
        <w:spacing w:beforeAutospacing="0" w:afterAutospacing="0"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t>第一章 总论</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第一节 会计的产生与发展</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 xml:space="preserve">第二节 会计的含义 </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会计的含义（一般）</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 xml:space="preserve">第三节 会计的职能与目标 </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会计的职能（重点）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rPr>
        <w:t>会计的目标（重点）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lastRenderedPageBreak/>
        <w:t xml:space="preserve">第四节 会计的任务与作用 </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 xml:space="preserve">第五节 会计的方法 </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会计的方法体系</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rPr>
        <w:t>会计核算方法</w:t>
      </w:r>
    </w:p>
    <w:p w:rsidR="003904CD" w:rsidRDefault="00BB10CB">
      <w:pPr>
        <w:pStyle w:val="a4"/>
        <w:widowControl/>
        <w:spacing w:beforeAutospacing="0" w:afterAutospacing="0"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t>第二章 会计要素与会计等式</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第一节 会计对象</w:t>
      </w:r>
      <w:r>
        <w:rPr>
          <w:rFonts w:ascii="仿宋" w:eastAsia="仿宋" w:hAnsi="仿宋" w:cs="仿宋" w:hint="eastAsia"/>
          <w:color w:val="000000"/>
          <w:sz w:val="28"/>
          <w:szCs w:val="28"/>
        </w:rPr>
        <w:t>（重点）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第二节 会计要素</w:t>
      </w:r>
      <w:r>
        <w:rPr>
          <w:rFonts w:ascii="仿宋" w:eastAsia="仿宋" w:hAnsi="仿宋" w:cs="仿宋" w:hint="eastAsia"/>
          <w:color w:val="000000"/>
          <w:sz w:val="28"/>
          <w:szCs w:val="28"/>
        </w:rPr>
        <w:t>（重点）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会计要素的含义（重点）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rPr>
        <w:t>会计要素的内容（重点）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第三节 会计等式</w:t>
      </w:r>
      <w:r>
        <w:rPr>
          <w:rFonts w:ascii="仿宋" w:eastAsia="仿宋" w:hAnsi="仿宋" w:cs="仿宋" w:hint="eastAsia"/>
          <w:color w:val="000000"/>
          <w:sz w:val="28"/>
          <w:szCs w:val="28"/>
        </w:rPr>
        <w:t>（重点）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基本会计等式（重点）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rPr>
        <w:t>经济业务对基本会计等式的影响（重点）</w:t>
      </w:r>
    </w:p>
    <w:p w:rsidR="003904CD" w:rsidRDefault="00BB10CB">
      <w:pPr>
        <w:pStyle w:val="a4"/>
        <w:widowControl/>
        <w:spacing w:beforeAutospacing="0" w:afterAutospacing="0"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t xml:space="preserve">第三章 会计核算基础 </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第一节 会计假设</w:t>
      </w:r>
      <w:r>
        <w:rPr>
          <w:rFonts w:ascii="仿宋" w:eastAsia="仿宋" w:hAnsi="仿宋" w:cs="仿宋" w:hint="eastAsia"/>
          <w:color w:val="000000"/>
          <w:sz w:val="28"/>
          <w:szCs w:val="28"/>
        </w:rPr>
        <w:t>（重点）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rPr>
        <w:t>会计假设的具体内容（重点）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第二节 会计信息质量特征</w:t>
      </w:r>
      <w:r>
        <w:rPr>
          <w:rFonts w:ascii="仿宋" w:eastAsia="仿宋" w:hAnsi="仿宋" w:cs="仿宋" w:hint="eastAsia"/>
          <w:color w:val="000000"/>
          <w:sz w:val="28"/>
          <w:szCs w:val="28"/>
        </w:rPr>
        <w:t>（重点）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会计信息质量特征的具体内容</w:t>
      </w:r>
      <w:r>
        <w:rPr>
          <w:rFonts w:ascii="仿宋" w:eastAsia="仿宋" w:hAnsi="仿宋" w:cs="仿宋" w:hint="eastAsia"/>
          <w:color w:val="000000"/>
          <w:sz w:val="28"/>
          <w:szCs w:val="28"/>
        </w:rPr>
        <w:t>（重点）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 xml:space="preserve">第三节 会计要素确认、计量及其要求 </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会计要素的确认（重点）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会计要素的计量（重点）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会计要素确认与计量的要求（一般）</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第四节 收付实现制与权责发生制</w:t>
      </w:r>
      <w:r>
        <w:rPr>
          <w:rFonts w:ascii="仿宋" w:eastAsia="仿宋" w:hAnsi="仿宋" w:cs="仿宋" w:hint="eastAsia"/>
          <w:color w:val="000000"/>
          <w:sz w:val="28"/>
          <w:szCs w:val="28"/>
        </w:rPr>
        <w:t>（重点）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lastRenderedPageBreak/>
        <w:t>收付实现制</w:t>
      </w:r>
      <w:r>
        <w:rPr>
          <w:rFonts w:ascii="仿宋" w:eastAsia="仿宋" w:hAnsi="仿宋" w:cs="仿宋" w:hint="eastAsia"/>
          <w:color w:val="000000"/>
          <w:sz w:val="28"/>
          <w:szCs w:val="28"/>
        </w:rPr>
        <w:t>（重点）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权责发生制</w:t>
      </w:r>
      <w:r>
        <w:rPr>
          <w:rFonts w:ascii="仿宋" w:eastAsia="仿宋" w:hAnsi="仿宋" w:cs="仿宋" w:hint="eastAsia"/>
          <w:color w:val="000000"/>
          <w:sz w:val="28"/>
          <w:szCs w:val="28"/>
        </w:rPr>
        <w:t>（重点）</w:t>
      </w:r>
    </w:p>
    <w:p w:rsidR="003904CD" w:rsidRDefault="00BB10CB">
      <w:pPr>
        <w:pStyle w:val="a4"/>
        <w:widowControl/>
        <w:spacing w:beforeAutospacing="0" w:afterAutospacing="0"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t>第四章 账户与复式记账</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第一节 账户与会计科目</w:t>
      </w:r>
      <w:r>
        <w:rPr>
          <w:rFonts w:ascii="仿宋" w:eastAsia="仿宋" w:hAnsi="仿宋" w:cs="仿宋" w:hint="eastAsia"/>
          <w:color w:val="000000"/>
          <w:sz w:val="28"/>
          <w:szCs w:val="28"/>
        </w:rPr>
        <w:t>（重点）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账户基本结构（一般）</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rPr>
        <w:t>会计科目的分类（重点）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第二节 复式记账原理</w:t>
      </w:r>
      <w:r>
        <w:rPr>
          <w:rFonts w:ascii="仿宋" w:eastAsia="仿宋" w:hAnsi="仿宋" w:cs="仿宋" w:hint="eastAsia"/>
          <w:color w:val="000000"/>
          <w:sz w:val="28"/>
          <w:szCs w:val="28"/>
        </w:rPr>
        <w:t>（重点）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复式记账法（重点）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rPr>
        <w:t>复式记账法的理论依据（重点）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第三节 借贷记账法</w:t>
      </w:r>
      <w:r>
        <w:rPr>
          <w:rFonts w:ascii="仿宋" w:eastAsia="仿宋" w:hAnsi="仿宋" w:cs="仿宋" w:hint="eastAsia"/>
          <w:color w:val="000000"/>
          <w:sz w:val="28"/>
          <w:szCs w:val="28"/>
        </w:rPr>
        <w:t>（重点）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借贷记账法的概念（重点）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借贷记账法下的账户结构（重点）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借贷记账法的记账规则（重点）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账户对应关系与会计分录（重点）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借贷记账法下的试算平衡</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第四节 总分类账户和明细分类账户</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总分类账户和明细分类账户之间的关系</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平行登记</w:t>
      </w:r>
    </w:p>
    <w:p w:rsidR="003904CD" w:rsidRDefault="00BB10CB">
      <w:pPr>
        <w:pStyle w:val="a4"/>
        <w:widowControl/>
        <w:spacing w:beforeAutospacing="0" w:afterAutospacing="0"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t xml:space="preserve">第五章 企业主要经济业务的核算 </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 xml:space="preserve">第一节 企业主要经济业务概述 </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第二节 资金筹集业务的核算</w:t>
      </w:r>
      <w:r>
        <w:rPr>
          <w:rFonts w:ascii="仿宋" w:eastAsia="仿宋" w:hAnsi="仿宋" w:cs="仿宋" w:hint="eastAsia"/>
          <w:color w:val="000000"/>
          <w:sz w:val="28"/>
          <w:szCs w:val="28"/>
        </w:rPr>
        <w:t>（重点）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所有者权益筹资业务（重点）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负债筹资业务（重点）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第三节 供应过程业务的核算</w:t>
      </w:r>
      <w:r>
        <w:rPr>
          <w:rFonts w:ascii="仿宋" w:eastAsia="仿宋" w:hAnsi="仿宋" w:cs="仿宋" w:hint="eastAsia"/>
          <w:color w:val="000000"/>
          <w:sz w:val="28"/>
          <w:szCs w:val="28"/>
        </w:rPr>
        <w:t>（重点）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固定资产购置业务核算（重点）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材料的采购成本（重点）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采购业务账务处理（重点）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第四节 生产过程业务的核算</w:t>
      </w:r>
      <w:r>
        <w:rPr>
          <w:rFonts w:ascii="仿宋" w:eastAsia="仿宋" w:hAnsi="仿宋" w:cs="仿宋" w:hint="eastAsia"/>
          <w:color w:val="000000"/>
          <w:sz w:val="28"/>
          <w:szCs w:val="28"/>
        </w:rPr>
        <w:t>（重点）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生产业务账务处理 （重点）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第五节 销售过程业务的核算</w:t>
      </w:r>
      <w:r>
        <w:rPr>
          <w:rFonts w:ascii="仿宋" w:eastAsia="仿宋" w:hAnsi="仿宋" w:cs="仿宋" w:hint="eastAsia"/>
          <w:color w:val="000000"/>
          <w:sz w:val="28"/>
          <w:szCs w:val="28"/>
        </w:rPr>
        <w:t>（重点）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销售业务账务处理（重点）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第六节 财务成果形成与分配业务的核算</w:t>
      </w:r>
      <w:r>
        <w:rPr>
          <w:rFonts w:ascii="仿宋" w:eastAsia="仿宋" w:hAnsi="仿宋" w:cs="仿宋" w:hint="eastAsia"/>
          <w:color w:val="000000"/>
          <w:sz w:val="28"/>
          <w:szCs w:val="28"/>
        </w:rPr>
        <w:t>（重点）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利润形成的账务处理（重点）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利润分配的账务处理（重点）</w:t>
      </w:r>
    </w:p>
    <w:p w:rsidR="003904CD" w:rsidRDefault="00BB10CB">
      <w:pPr>
        <w:pStyle w:val="a4"/>
        <w:widowControl/>
        <w:spacing w:beforeAutospacing="0" w:afterAutospacing="0"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t xml:space="preserve">第六章 账户的分类 </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 xml:space="preserve">第一节 账户分类的意义 </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第二节 账户按经济内容分类</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账户按经济内容分类</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第三节 账户按用途和结构分类</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账户按用途和结构分类</w:t>
      </w:r>
    </w:p>
    <w:p w:rsidR="003904CD" w:rsidRDefault="00BB10CB">
      <w:pPr>
        <w:pStyle w:val="a4"/>
        <w:widowControl/>
        <w:spacing w:beforeAutospacing="0" w:afterAutospacing="0"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t xml:space="preserve">第七章 成本计算 </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 xml:space="preserve">第一节 成本计算的意义、原理与要求 </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第二节 成本计算的一般程序</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 xml:space="preserve">第三节 企业经营过程中的成本计算 </w:t>
      </w:r>
    </w:p>
    <w:p w:rsidR="003904CD" w:rsidRDefault="00BB10CB">
      <w:pPr>
        <w:pStyle w:val="a4"/>
        <w:widowControl/>
        <w:spacing w:beforeAutospacing="0" w:afterAutospacing="0"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lastRenderedPageBreak/>
        <w:t xml:space="preserve">第八章 会计凭证 </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第一节 会计凭证的作用和种类</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会计凭证的概念与作用</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会计凭证的种类（重点）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第二节 原始凭证</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原始凭证的种类（重点）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原始凭证的基本内容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原始凭证的填制要求</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原始凭证的审核 </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第三节 记账凭证</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记账凭证的种类（重点）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记账凭证的基本内容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记账凭证的填制要求</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记账凭证的审核 </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第四节 会计凭证的传递与保管</w:t>
      </w:r>
    </w:p>
    <w:p w:rsidR="003904CD" w:rsidRDefault="00BB10CB">
      <w:pPr>
        <w:pStyle w:val="a4"/>
        <w:widowControl/>
        <w:spacing w:beforeAutospacing="0" w:afterAutospacing="0"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t xml:space="preserve">第九章 会计账簿 </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第一节 账簿的意义与种类</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会计账簿的概念与种类（重点）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第二节 账簿的设置与登记</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日记账</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分类账</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第三节 账簿的启用与错账更正</w:t>
      </w:r>
      <w:r>
        <w:rPr>
          <w:rFonts w:ascii="仿宋" w:eastAsia="仿宋" w:hAnsi="仿宋" w:cs="仿宋" w:hint="eastAsia"/>
          <w:color w:val="000000"/>
          <w:sz w:val="28"/>
          <w:szCs w:val="28"/>
        </w:rPr>
        <w:t>（重点）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错账查找方法</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错账更正方法（重点）</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第四节 结账与对账</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对账（重点）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结账</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 xml:space="preserve">第五节 账簿的更换与保管 </w:t>
      </w:r>
    </w:p>
    <w:p w:rsidR="003904CD" w:rsidRDefault="00BB10CB">
      <w:pPr>
        <w:pStyle w:val="a4"/>
        <w:widowControl/>
        <w:spacing w:beforeAutospacing="0" w:afterAutospacing="0"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t xml:space="preserve">第十章 财产清查 </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第一节 财产清查概述</w:t>
      </w:r>
      <w:r>
        <w:rPr>
          <w:rFonts w:ascii="仿宋" w:eastAsia="仿宋" w:hAnsi="仿宋" w:cs="仿宋" w:hint="eastAsia"/>
          <w:color w:val="000000"/>
          <w:sz w:val="28"/>
          <w:szCs w:val="28"/>
        </w:rPr>
        <w:t>（重点）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财产清查的概念（重点）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财产清查的种类（重点）</w:t>
      </w:r>
    </w:p>
    <w:p w:rsidR="003904CD" w:rsidRDefault="00BB10CB">
      <w:p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财产清查的准备工作</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shd w:val="clear" w:color="auto" w:fill="FFFFFF"/>
        </w:rPr>
        <w:t>第二节 存货的盘存制度</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永续盘存制</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实地盘存制</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第三节 财产清查的内容和方法</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货币资产</w:t>
      </w:r>
    </w:p>
    <w:p w:rsidR="003904CD" w:rsidRDefault="00BB10CB">
      <w:pPr>
        <w:pStyle w:val="a4"/>
        <w:widowControl/>
        <w:spacing w:beforeAutospacing="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实物资产</w:t>
      </w:r>
    </w:p>
    <w:p w:rsidR="003904CD" w:rsidRDefault="00BB10CB">
      <w:pPr>
        <w:pStyle w:val="a4"/>
        <w:widowControl/>
        <w:spacing w:beforeAutospacing="0" w:afterAutospacing="0"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应收款项</w:t>
      </w:r>
    </w:p>
    <w:p w:rsidR="003904CD" w:rsidRDefault="00BB10CB">
      <w:pPr>
        <w:pStyle w:val="a4"/>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color w:val="333333"/>
          <w:sz w:val="28"/>
          <w:szCs w:val="28"/>
          <w:shd w:val="clear" w:color="auto" w:fill="FFFFFF"/>
        </w:rPr>
        <w:t>第四节 财产清查结果的处理</w:t>
      </w:r>
      <w:r>
        <w:rPr>
          <w:rFonts w:ascii="仿宋" w:eastAsia="仿宋" w:hAnsi="仿宋" w:cs="仿宋" w:hint="eastAsia"/>
          <w:sz w:val="28"/>
          <w:szCs w:val="28"/>
        </w:rPr>
        <w:t>（重点）</w:t>
      </w:r>
    </w:p>
    <w:p w:rsidR="003904CD" w:rsidRDefault="00BB10CB">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财产清查结果的会计处理（重点）</w:t>
      </w:r>
    </w:p>
    <w:p w:rsidR="003904CD" w:rsidRDefault="00BB10CB">
      <w:pPr>
        <w:pStyle w:val="a4"/>
        <w:widowControl/>
        <w:spacing w:beforeAutospacing="0" w:afterAutospacing="0" w:line="360" w:lineRule="auto"/>
        <w:ind w:firstLineChars="200" w:firstLine="562"/>
        <w:rPr>
          <w:rFonts w:ascii="仿宋" w:eastAsia="仿宋" w:hAnsi="仿宋" w:cs="仿宋"/>
          <w:b/>
          <w:color w:val="333333"/>
          <w:sz w:val="28"/>
          <w:szCs w:val="28"/>
          <w:shd w:val="clear" w:color="auto" w:fill="FFFFFF"/>
        </w:rPr>
      </w:pPr>
      <w:r>
        <w:rPr>
          <w:rFonts w:ascii="仿宋" w:eastAsia="仿宋" w:hAnsi="仿宋" w:cs="仿宋" w:hint="eastAsia"/>
          <w:b/>
          <w:color w:val="333333"/>
          <w:sz w:val="28"/>
          <w:szCs w:val="28"/>
          <w:shd w:val="clear" w:color="auto" w:fill="FFFFFF"/>
        </w:rPr>
        <w:t>第十一章 财务报告</w:t>
      </w:r>
      <w:r w:rsidR="00936DB1">
        <w:rPr>
          <w:rFonts w:ascii="仿宋" w:eastAsia="仿宋" w:hAnsi="仿宋" w:cs="仿宋" w:hint="eastAsia"/>
          <w:b/>
          <w:color w:val="333333"/>
          <w:sz w:val="28"/>
          <w:szCs w:val="28"/>
          <w:shd w:val="clear" w:color="auto" w:fill="FFFFFF"/>
        </w:rPr>
        <w:t>（一般）</w:t>
      </w:r>
    </w:p>
    <w:p w:rsidR="003904CD" w:rsidRDefault="00BB10CB">
      <w:pPr>
        <w:pStyle w:val="a4"/>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color w:val="333333"/>
          <w:sz w:val="28"/>
          <w:szCs w:val="28"/>
          <w:shd w:val="clear" w:color="auto" w:fill="FFFFFF"/>
        </w:rPr>
        <w:t>第一节 财务报告概述</w:t>
      </w:r>
    </w:p>
    <w:p w:rsidR="003904CD" w:rsidRDefault="00BB10CB">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lastRenderedPageBreak/>
        <w:t>财务报告的定义与种类</w:t>
      </w:r>
    </w:p>
    <w:p w:rsidR="003904CD" w:rsidRDefault="00BB10CB">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财务报告的构成</w:t>
      </w:r>
    </w:p>
    <w:p w:rsidR="003904CD" w:rsidRDefault="00BB10CB">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财务报告编制的基本要求</w:t>
      </w:r>
    </w:p>
    <w:p w:rsidR="003904CD" w:rsidRDefault="00BB10CB">
      <w:pPr>
        <w:pStyle w:val="a4"/>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color w:val="333333"/>
          <w:sz w:val="28"/>
          <w:szCs w:val="28"/>
          <w:shd w:val="clear" w:color="auto" w:fill="FFFFFF"/>
        </w:rPr>
        <w:t>第二节 资产负债表</w:t>
      </w:r>
    </w:p>
    <w:p w:rsidR="003904CD" w:rsidRDefault="00BB10CB">
      <w:pPr>
        <w:pStyle w:val="a4"/>
        <w:widowControl/>
        <w:spacing w:beforeAutospacing="0" w:afterAutospacing="0"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资产负债表的内容与格式</w:t>
      </w:r>
    </w:p>
    <w:p w:rsidR="003904CD" w:rsidRDefault="00BB10CB">
      <w:pPr>
        <w:pStyle w:val="a4"/>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color w:val="333333"/>
          <w:sz w:val="28"/>
          <w:szCs w:val="28"/>
          <w:shd w:val="clear" w:color="auto" w:fill="FFFFFF"/>
        </w:rPr>
        <w:t>第三节 利润表</w:t>
      </w:r>
    </w:p>
    <w:p w:rsidR="003904CD" w:rsidRDefault="00BB10CB">
      <w:pPr>
        <w:pStyle w:val="a4"/>
        <w:widowControl/>
        <w:spacing w:beforeAutospacing="0" w:afterAutospacing="0"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利润表的内容与格式</w:t>
      </w:r>
    </w:p>
    <w:p w:rsidR="003904CD" w:rsidRDefault="00BB10CB">
      <w:pPr>
        <w:pStyle w:val="a4"/>
        <w:widowControl/>
        <w:spacing w:beforeAutospacing="0" w:afterAutospacing="0"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 xml:space="preserve">第四节 现金流量表 </w:t>
      </w:r>
    </w:p>
    <w:p w:rsidR="003904CD" w:rsidRDefault="00BB10CB">
      <w:pPr>
        <w:pStyle w:val="a4"/>
        <w:widowControl/>
        <w:spacing w:beforeAutospacing="0" w:afterAutospacing="0"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现金流量表的编制基础</w:t>
      </w:r>
    </w:p>
    <w:p w:rsidR="003904CD" w:rsidRDefault="00BB10CB">
      <w:pPr>
        <w:pStyle w:val="a4"/>
        <w:widowControl/>
        <w:spacing w:beforeAutospacing="0" w:afterAutospacing="0"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 xml:space="preserve">第五节 所有者权益（或股东权益） 变动表 </w:t>
      </w:r>
    </w:p>
    <w:p w:rsidR="003904CD" w:rsidRDefault="00BB10CB">
      <w:pPr>
        <w:pStyle w:val="a4"/>
        <w:widowControl/>
        <w:spacing w:beforeAutospacing="0" w:afterAutospacing="0"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第六节 会计报表附注</w:t>
      </w:r>
    </w:p>
    <w:p w:rsidR="003904CD" w:rsidRDefault="00BB10CB">
      <w:pPr>
        <w:pStyle w:val="a4"/>
        <w:widowControl/>
        <w:spacing w:beforeAutospacing="0" w:afterAutospacing="0" w:line="360" w:lineRule="auto"/>
        <w:ind w:firstLineChars="200" w:firstLine="562"/>
        <w:rPr>
          <w:rFonts w:ascii="仿宋" w:eastAsia="仿宋" w:hAnsi="仿宋" w:cs="仿宋"/>
          <w:b/>
          <w:color w:val="333333"/>
          <w:sz w:val="28"/>
          <w:szCs w:val="28"/>
          <w:shd w:val="clear" w:color="auto" w:fill="FFFFFF"/>
        </w:rPr>
      </w:pPr>
      <w:r>
        <w:rPr>
          <w:rFonts w:ascii="仿宋" w:eastAsia="仿宋" w:hAnsi="仿宋" w:cs="仿宋" w:hint="eastAsia"/>
          <w:b/>
          <w:color w:val="333333"/>
          <w:sz w:val="28"/>
          <w:szCs w:val="28"/>
          <w:shd w:val="clear" w:color="auto" w:fill="FFFFFF"/>
        </w:rPr>
        <w:t>第十二章 会计核算组织程序</w:t>
      </w:r>
      <w:r w:rsidR="00936DB1">
        <w:rPr>
          <w:rFonts w:ascii="仿宋" w:eastAsia="仿宋" w:hAnsi="仿宋" w:cs="仿宋" w:hint="eastAsia"/>
          <w:b/>
          <w:color w:val="333333"/>
          <w:sz w:val="28"/>
          <w:szCs w:val="28"/>
          <w:shd w:val="clear" w:color="auto" w:fill="FFFFFF"/>
        </w:rPr>
        <w:t>（一般）</w:t>
      </w:r>
    </w:p>
    <w:p w:rsidR="003904CD" w:rsidRDefault="00BB10CB">
      <w:pPr>
        <w:pStyle w:val="a4"/>
        <w:widowControl/>
        <w:numPr>
          <w:ilvl w:val="0"/>
          <w:numId w:val="1"/>
        </w:numPr>
        <w:spacing w:beforeAutospacing="0" w:afterAutospacing="0" w:line="360" w:lineRule="auto"/>
        <w:ind w:left="0"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会计核算组织程序概述</w:t>
      </w:r>
    </w:p>
    <w:p w:rsidR="003904CD" w:rsidRDefault="00BB10CB">
      <w:pPr>
        <w:pStyle w:val="a4"/>
        <w:widowControl/>
        <w:spacing w:beforeAutospacing="0" w:afterAutospacing="0"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会计核算组织程序的概念</w:t>
      </w:r>
    </w:p>
    <w:p w:rsidR="003904CD" w:rsidRDefault="00BB10CB">
      <w:pPr>
        <w:pStyle w:val="a4"/>
        <w:widowControl/>
        <w:spacing w:beforeAutospacing="0" w:afterAutospacing="0"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会计循环</w:t>
      </w:r>
    </w:p>
    <w:p w:rsidR="003904CD" w:rsidRDefault="00BB10CB">
      <w:pPr>
        <w:pStyle w:val="a4"/>
        <w:widowControl/>
        <w:numPr>
          <w:ilvl w:val="0"/>
          <w:numId w:val="1"/>
        </w:numPr>
        <w:spacing w:beforeAutospacing="0" w:afterAutospacing="0" w:line="360" w:lineRule="auto"/>
        <w:ind w:left="0" w:firstLineChars="200" w:firstLine="560"/>
        <w:rPr>
          <w:rFonts w:ascii="仿宋" w:eastAsia="仿宋" w:hAnsi="仿宋" w:cs="仿宋"/>
          <w:sz w:val="28"/>
          <w:szCs w:val="28"/>
        </w:rPr>
      </w:pPr>
      <w:r>
        <w:rPr>
          <w:rFonts w:ascii="仿宋" w:eastAsia="仿宋" w:hAnsi="仿宋" w:cs="仿宋" w:hint="eastAsia"/>
          <w:color w:val="333333"/>
          <w:sz w:val="28"/>
          <w:szCs w:val="28"/>
          <w:shd w:val="clear" w:color="auto" w:fill="FFFFFF"/>
        </w:rPr>
        <w:t>记账凭证核算组织程序</w:t>
      </w:r>
    </w:p>
    <w:p w:rsidR="003904CD" w:rsidRDefault="00BB10CB">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一般步骤</w:t>
      </w:r>
    </w:p>
    <w:p w:rsidR="003904CD" w:rsidRDefault="00BB10CB">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记账凭证核算组织程序的评价</w:t>
      </w:r>
    </w:p>
    <w:p w:rsidR="003904CD" w:rsidRPr="008627EC" w:rsidRDefault="00BB10CB" w:rsidP="00936DB1">
      <w:pPr>
        <w:pStyle w:val="a4"/>
        <w:widowControl/>
        <w:numPr>
          <w:ilvl w:val="0"/>
          <w:numId w:val="1"/>
        </w:numPr>
        <w:spacing w:beforeAutospacing="0" w:afterAutospacing="0" w:line="360" w:lineRule="auto"/>
        <w:ind w:left="0" w:firstLineChars="200" w:firstLine="560"/>
        <w:rPr>
          <w:rFonts w:ascii="仿宋" w:eastAsia="仿宋" w:hAnsi="仿宋" w:cs="仿宋"/>
          <w:color w:val="FF0000"/>
          <w:sz w:val="28"/>
          <w:szCs w:val="28"/>
        </w:rPr>
      </w:pPr>
      <w:r w:rsidRPr="00936DB1">
        <w:rPr>
          <w:rFonts w:ascii="仿宋" w:eastAsia="仿宋" w:hAnsi="仿宋" w:cs="仿宋" w:hint="eastAsia"/>
          <w:color w:val="333333"/>
          <w:sz w:val="28"/>
          <w:szCs w:val="28"/>
          <w:shd w:val="clear" w:color="auto" w:fill="FFFFFF"/>
        </w:rPr>
        <w:t>科目汇总表核算组织程序</w:t>
      </w:r>
    </w:p>
    <w:p w:rsidR="008627EC" w:rsidRPr="00756DD1" w:rsidRDefault="008627EC">
      <w:pPr>
        <w:spacing w:line="360" w:lineRule="auto"/>
        <w:ind w:firstLineChars="200" w:firstLine="560"/>
        <w:jc w:val="left"/>
        <w:rPr>
          <w:rFonts w:ascii="仿宋" w:eastAsia="仿宋" w:hAnsi="仿宋" w:cs="仿宋"/>
          <w:kern w:val="0"/>
          <w:sz w:val="28"/>
          <w:szCs w:val="28"/>
        </w:rPr>
      </w:pPr>
      <w:r w:rsidRPr="00756DD1">
        <w:rPr>
          <w:rFonts w:ascii="仿宋" w:eastAsia="仿宋" w:hAnsi="仿宋" w:cs="仿宋" w:hint="eastAsia"/>
          <w:sz w:val="28"/>
          <w:szCs w:val="28"/>
        </w:rPr>
        <w:t>一般步骤</w:t>
      </w:r>
    </w:p>
    <w:p w:rsidR="003904CD" w:rsidRDefault="00BB10CB">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科目汇总表核算组织程序的评价</w:t>
      </w:r>
    </w:p>
    <w:p w:rsidR="003904CD" w:rsidRDefault="00BB10CB">
      <w:pPr>
        <w:pStyle w:val="a4"/>
        <w:widowControl/>
        <w:spacing w:beforeAutospacing="0" w:afterAutospacing="0"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第四节 汇总记账凭证核算组织程序</w:t>
      </w:r>
    </w:p>
    <w:p w:rsidR="003904CD" w:rsidRDefault="00BB10CB">
      <w:pPr>
        <w:pStyle w:val="a4"/>
        <w:widowControl/>
        <w:spacing w:beforeAutospacing="0" w:afterAutospacing="0"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lastRenderedPageBreak/>
        <w:t>第五节 日记总账核算组织程序</w:t>
      </w:r>
    </w:p>
    <w:p w:rsidR="003904CD" w:rsidRDefault="00BB10CB">
      <w:pPr>
        <w:pStyle w:val="a4"/>
        <w:widowControl/>
        <w:spacing w:beforeAutospacing="0" w:afterAutospacing="0" w:line="360" w:lineRule="auto"/>
        <w:ind w:firstLineChars="200" w:firstLine="562"/>
        <w:rPr>
          <w:rFonts w:ascii="仿宋" w:eastAsia="仿宋" w:hAnsi="仿宋" w:cs="仿宋"/>
          <w:b/>
          <w:color w:val="333333"/>
          <w:sz w:val="28"/>
          <w:szCs w:val="28"/>
          <w:shd w:val="clear" w:color="auto" w:fill="FFFFFF"/>
        </w:rPr>
      </w:pPr>
      <w:r>
        <w:rPr>
          <w:rFonts w:ascii="仿宋" w:eastAsia="仿宋" w:hAnsi="仿宋" w:cs="仿宋" w:hint="eastAsia"/>
          <w:b/>
          <w:color w:val="333333"/>
          <w:sz w:val="28"/>
          <w:szCs w:val="28"/>
          <w:shd w:val="clear" w:color="auto" w:fill="FFFFFF"/>
        </w:rPr>
        <w:t>第十三章 会计软件应用基础 （略）</w:t>
      </w:r>
    </w:p>
    <w:p w:rsidR="003904CD" w:rsidRDefault="00BB10CB">
      <w:pPr>
        <w:pStyle w:val="a4"/>
        <w:widowControl/>
        <w:spacing w:beforeAutospacing="0" w:afterAutospacing="0" w:line="360" w:lineRule="auto"/>
        <w:ind w:firstLineChars="200" w:firstLine="562"/>
        <w:rPr>
          <w:rFonts w:ascii="仿宋" w:eastAsia="仿宋" w:hAnsi="仿宋" w:cs="仿宋"/>
          <w:b/>
          <w:color w:val="333333"/>
          <w:sz w:val="28"/>
          <w:szCs w:val="28"/>
          <w:shd w:val="clear" w:color="auto" w:fill="FFFFFF"/>
        </w:rPr>
      </w:pPr>
      <w:r>
        <w:rPr>
          <w:rFonts w:ascii="仿宋" w:eastAsia="仿宋" w:hAnsi="仿宋" w:cs="仿宋" w:hint="eastAsia"/>
          <w:b/>
          <w:color w:val="333333"/>
          <w:sz w:val="28"/>
          <w:szCs w:val="28"/>
          <w:shd w:val="clear" w:color="auto" w:fill="FFFFFF"/>
        </w:rPr>
        <w:t>第十四章 会计工作组织（略）</w:t>
      </w:r>
    </w:p>
    <w:p w:rsidR="003904CD" w:rsidRDefault="00BB10CB">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三、试卷结构</w:t>
      </w:r>
    </w:p>
    <w:p w:rsidR="003904CD" w:rsidRDefault="00BB10CB">
      <w:pPr>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rPr>
        <w:t>（试卷总分为150分）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7"/>
        <w:gridCol w:w="3280"/>
        <w:gridCol w:w="3282"/>
      </w:tblGrid>
      <w:tr w:rsidR="003904CD" w:rsidTr="00936DB1">
        <w:trPr>
          <w:jc w:val="center"/>
        </w:trPr>
        <w:tc>
          <w:tcPr>
            <w:tcW w:w="1149" w:type="pct"/>
          </w:tcPr>
          <w:p w:rsidR="003904CD" w:rsidRDefault="00BB10CB">
            <w:pPr>
              <w:spacing w:line="360" w:lineRule="auto"/>
              <w:jc w:val="center"/>
              <w:rPr>
                <w:rFonts w:ascii="仿宋" w:eastAsia="仿宋" w:hAnsi="仿宋" w:cs="仿宋"/>
                <w:sz w:val="28"/>
                <w:szCs w:val="28"/>
              </w:rPr>
            </w:pPr>
            <w:r>
              <w:rPr>
                <w:rFonts w:ascii="仿宋" w:eastAsia="仿宋" w:hAnsi="仿宋" w:cs="仿宋" w:hint="eastAsia"/>
                <w:sz w:val="28"/>
                <w:szCs w:val="28"/>
              </w:rPr>
              <w:t>序号</w:t>
            </w:r>
          </w:p>
        </w:tc>
        <w:tc>
          <w:tcPr>
            <w:tcW w:w="1925" w:type="pct"/>
          </w:tcPr>
          <w:p w:rsidR="003904CD" w:rsidRDefault="00BB10CB">
            <w:pPr>
              <w:spacing w:line="360" w:lineRule="auto"/>
              <w:jc w:val="center"/>
              <w:rPr>
                <w:rFonts w:ascii="仿宋" w:eastAsia="仿宋" w:hAnsi="仿宋" w:cs="仿宋"/>
                <w:sz w:val="28"/>
                <w:szCs w:val="28"/>
              </w:rPr>
            </w:pPr>
            <w:r>
              <w:rPr>
                <w:rFonts w:ascii="仿宋" w:eastAsia="仿宋" w:hAnsi="仿宋" w:cs="仿宋" w:hint="eastAsia"/>
                <w:sz w:val="28"/>
                <w:szCs w:val="28"/>
              </w:rPr>
              <w:t>题型</w:t>
            </w:r>
          </w:p>
        </w:tc>
        <w:tc>
          <w:tcPr>
            <w:tcW w:w="1926" w:type="pct"/>
          </w:tcPr>
          <w:p w:rsidR="003904CD" w:rsidRDefault="00BB10CB">
            <w:pPr>
              <w:spacing w:line="360" w:lineRule="auto"/>
              <w:jc w:val="center"/>
              <w:rPr>
                <w:rFonts w:ascii="仿宋" w:eastAsia="仿宋" w:hAnsi="仿宋" w:cs="仿宋"/>
                <w:sz w:val="28"/>
                <w:szCs w:val="28"/>
              </w:rPr>
            </w:pPr>
            <w:r>
              <w:rPr>
                <w:rFonts w:ascii="仿宋" w:eastAsia="仿宋" w:hAnsi="仿宋" w:cs="仿宋" w:hint="eastAsia"/>
                <w:sz w:val="28"/>
                <w:szCs w:val="28"/>
              </w:rPr>
              <w:t>题量</w:t>
            </w:r>
          </w:p>
        </w:tc>
      </w:tr>
      <w:tr w:rsidR="003904CD" w:rsidTr="00936DB1">
        <w:trPr>
          <w:jc w:val="center"/>
        </w:trPr>
        <w:tc>
          <w:tcPr>
            <w:tcW w:w="1149" w:type="pct"/>
          </w:tcPr>
          <w:p w:rsidR="003904CD" w:rsidRDefault="00BB10CB">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1925" w:type="pct"/>
          </w:tcPr>
          <w:p w:rsidR="003904CD" w:rsidRDefault="00BB10CB">
            <w:pPr>
              <w:spacing w:line="360" w:lineRule="auto"/>
              <w:jc w:val="center"/>
              <w:rPr>
                <w:rFonts w:ascii="仿宋" w:eastAsia="仿宋" w:hAnsi="仿宋" w:cs="仿宋"/>
                <w:sz w:val="28"/>
                <w:szCs w:val="28"/>
              </w:rPr>
            </w:pPr>
            <w:r>
              <w:rPr>
                <w:rFonts w:ascii="仿宋" w:eastAsia="仿宋" w:hAnsi="仿宋" w:cs="仿宋" w:hint="eastAsia"/>
                <w:sz w:val="28"/>
                <w:szCs w:val="28"/>
              </w:rPr>
              <w:t>单项选择题</w:t>
            </w:r>
          </w:p>
        </w:tc>
        <w:tc>
          <w:tcPr>
            <w:tcW w:w="1926" w:type="pct"/>
          </w:tcPr>
          <w:p w:rsidR="003904CD" w:rsidRDefault="00341F54">
            <w:pPr>
              <w:spacing w:line="360" w:lineRule="auto"/>
              <w:jc w:val="center"/>
              <w:rPr>
                <w:rFonts w:ascii="仿宋" w:eastAsia="仿宋" w:hAnsi="仿宋" w:cs="仿宋"/>
                <w:sz w:val="28"/>
                <w:szCs w:val="28"/>
              </w:rPr>
            </w:pPr>
            <w:r>
              <w:rPr>
                <w:rFonts w:ascii="仿宋" w:eastAsia="仿宋" w:hAnsi="仿宋" w:cs="仿宋"/>
                <w:sz w:val="28"/>
                <w:szCs w:val="28"/>
              </w:rPr>
              <w:t>1</w:t>
            </w:r>
            <w:r w:rsidR="00BB10CB">
              <w:rPr>
                <w:rFonts w:ascii="仿宋" w:eastAsia="仿宋" w:hAnsi="仿宋" w:cs="仿宋" w:hint="eastAsia"/>
                <w:sz w:val="28"/>
                <w:szCs w:val="28"/>
              </w:rPr>
              <w:t>0</w:t>
            </w:r>
          </w:p>
        </w:tc>
      </w:tr>
      <w:tr w:rsidR="003904CD" w:rsidTr="00936DB1">
        <w:trPr>
          <w:jc w:val="center"/>
        </w:trPr>
        <w:tc>
          <w:tcPr>
            <w:tcW w:w="1149" w:type="pct"/>
          </w:tcPr>
          <w:p w:rsidR="003904CD" w:rsidRDefault="00BB10CB">
            <w:pPr>
              <w:spacing w:line="360" w:lineRule="auto"/>
              <w:jc w:val="center"/>
              <w:rPr>
                <w:rFonts w:ascii="仿宋" w:eastAsia="仿宋" w:hAnsi="仿宋" w:cs="仿宋"/>
                <w:sz w:val="28"/>
                <w:szCs w:val="28"/>
              </w:rPr>
            </w:pPr>
            <w:r>
              <w:rPr>
                <w:rFonts w:ascii="仿宋" w:eastAsia="仿宋" w:hAnsi="仿宋" w:cs="仿宋" w:hint="eastAsia"/>
                <w:sz w:val="28"/>
                <w:szCs w:val="28"/>
              </w:rPr>
              <w:t>2</w:t>
            </w:r>
          </w:p>
        </w:tc>
        <w:tc>
          <w:tcPr>
            <w:tcW w:w="1925" w:type="pct"/>
          </w:tcPr>
          <w:p w:rsidR="003904CD" w:rsidRDefault="00BB10CB">
            <w:pPr>
              <w:spacing w:line="360" w:lineRule="auto"/>
              <w:jc w:val="center"/>
              <w:rPr>
                <w:rFonts w:ascii="仿宋" w:eastAsia="仿宋" w:hAnsi="仿宋" w:cs="仿宋"/>
                <w:sz w:val="28"/>
                <w:szCs w:val="28"/>
              </w:rPr>
            </w:pPr>
            <w:r>
              <w:rPr>
                <w:rFonts w:ascii="仿宋" w:eastAsia="仿宋" w:hAnsi="仿宋" w:cs="仿宋" w:hint="eastAsia"/>
                <w:sz w:val="28"/>
                <w:szCs w:val="28"/>
              </w:rPr>
              <w:t>判断题</w:t>
            </w:r>
          </w:p>
        </w:tc>
        <w:tc>
          <w:tcPr>
            <w:tcW w:w="1926" w:type="pct"/>
          </w:tcPr>
          <w:p w:rsidR="003904CD" w:rsidRDefault="00BB10CB">
            <w:pPr>
              <w:spacing w:line="360" w:lineRule="auto"/>
              <w:jc w:val="center"/>
              <w:rPr>
                <w:rFonts w:ascii="仿宋" w:eastAsia="仿宋" w:hAnsi="仿宋" w:cs="仿宋"/>
                <w:sz w:val="28"/>
                <w:szCs w:val="28"/>
              </w:rPr>
            </w:pPr>
            <w:r>
              <w:rPr>
                <w:rFonts w:ascii="仿宋" w:eastAsia="仿宋" w:hAnsi="仿宋" w:cs="仿宋" w:hint="eastAsia"/>
                <w:sz w:val="28"/>
                <w:szCs w:val="28"/>
              </w:rPr>
              <w:t>10</w:t>
            </w:r>
          </w:p>
        </w:tc>
      </w:tr>
      <w:tr w:rsidR="003904CD" w:rsidTr="00936DB1">
        <w:trPr>
          <w:jc w:val="center"/>
        </w:trPr>
        <w:tc>
          <w:tcPr>
            <w:tcW w:w="1149" w:type="pct"/>
          </w:tcPr>
          <w:p w:rsidR="003904CD" w:rsidRDefault="00BB10CB">
            <w:pPr>
              <w:spacing w:line="360" w:lineRule="auto"/>
              <w:jc w:val="center"/>
              <w:rPr>
                <w:rFonts w:ascii="仿宋" w:eastAsia="仿宋" w:hAnsi="仿宋" w:cs="仿宋"/>
                <w:sz w:val="28"/>
                <w:szCs w:val="28"/>
              </w:rPr>
            </w:pPr>
            <w:r>
              <w:rPr>
                <w:rFonts w:ascii="仿宋" w:eastAsia="仿宋" w:hAnsi="仿宋" w:cs="仿宋" w:hint="eastAsia"/>
                <w:sz w:val="28"/>
                <w:szCs w:val="28"/>
              </w:rPr>
              <w:t>3</w:t>
            </w:r>
          </w:p>
        </w:tc>
        <w:tc>
          <w:tcPr>
            <w:tcW w:w="1925" w:type="pct"/>
          </w:tcPr>
          <w:p w:rsidR="003904CD" w:rsidRDefault="00BB10CB">
            <w:pPr>
              <w:spacing w:line="360" w:lineRule="auto"/>
              <w:jc w:val="center"/>
              <w:rPr>
                <w:rFonts w:ascii="仿宋" w:eastAsia="仿宋" w:hAnsi="仿宋" w:cs="仿宋"/>
                <w:sz w:val="28"/>
                <w:szCs w:val="28"/>
              </w:rPr>
            </w:pPr>
            <w:r>
              <w:rPr>
                <w:rFonts w:ascii="仿宋" w:eastAsia="仿宋" w:hAnsi="仿宋" w:cs="仿宋" w:hint="eastAsia"/>
                <w:sz w:val="28"/>
                <w:szCs w:val="28"/>
              </w:rPr>
              <w:t>简答题</w:t>
            </w:r>
          </w:p>
        </w:tc>
        <w:tc>
          <w:tcPr>
            <w:tcW w:w="1926" w:type="pct"/>
          </w:tcPr>
          <w:p w:rsidR="003904CD" w:rsidRDefault="00BB10CB">
            <w:pPr>
              <w:spacing w:line="360" w:lineRule="auto"/>
              <w:jc w:val="center"/>
              <w:rPr>
                <w:rFonts w:ascii="仿宋" w:eastAsia="仿宋" w:hAnsi="仿宋" w:cs="仿宋"/>
                <w:sz w:val="28"/>
                <w:szCs w:val="28"/>
              </w:rPr>
            </w:pPr>
            <w:r>
              <w:rPr>
                <w:rFonts w:ascii="仿宋" w:eastAsia="仿宋" w:hAnsi="仿宋" w:cs="仿宋" w:hint="eastAsia"/>
                <w:sz w:val="28"/>
                <w:szCs w:val="28"/>
              </w:rPr>
              <w:t>2</w:t>
            </w:r>
          </w:p>
        </w:tc>
      </w:tr>
      <w:tr w:rsidR="00341F54" w:rsidTr="00936DB1">
        <w:trPr>
          <w:jc w:val="center"/>
        </w:trPr>
        <w:tc>
          <w:tcPr>
            <w:tcW w:w="1149" w:type="pct"/>
          </w:tcPr>
          <w:p w:rsidR="00341F54" w:rsidRDefault="00341F54">
            <w:pPr>
              <w:spacing w:line="360" w:lineRule="auto"/>
              <w:jc w:val="center"/>
              <w:rPr>
                <w:rFonts w:ascii="仿宋" w:eastAsia="仿宋" w:hAnsi="仿宋" w:cs="仿宋"/>
                <w:sz w:val="28"/>
                <w:szCs w:val="28"/>
              </w:rPr>
            </w:pPr>
            <w:r>
              <w:rPr>
                <w:rFonts w:ascii="仿宋" w:eastAsia="仿宋" w:hAnsi="仿宋" w:cs="仿宋" w:hint="eastAsia"/>
                <w:sz w:val="28"/>
                <w:szCs w:val="28"/>
              </w:rPr>
              <w:t>4</w:t>
            </w:r>
          </w:p>
        </w:tc>
        <w:tc>
          <w:tcPr>
            <w:tcW w:w="1925" w:type="pct"/>
          </w:tcPr>
          <w:p w:rsidR="00341F54" w:rsidRDefault="00341F54">
            <w:pPr>
              <w:spacing w:line="360" w:lineRule="auto"/>
              <w:jc w:val="center"/>
              <w:rPr>
                <w:rFonts w:ascii="仿宋" w:eastAsia="仿宋" w:hAnsi="仿宋" w:cs="仿宋"/>
                <w:sz w:val="28"/>
                <w:szCs w:val="28"/>
              </w:rPr>
            </w:pPr>
            <w:r>
              <w:rPr>
                <w:rFonts w:ascii="仿宋" w:eastAsia="仿宋" w:hAnsi="仿宋" w:cs="仿宋" w:hint="eastAsia"/>
                <w:sz w:val="28"/>
                <w:szCs w:val="28"/>
              </w:rPr>
              <w:t>计算题</w:t>
            </w:r>
          </w:p>
        </w:tc>
        <w:tc>
          <w:tcPr>
            <w:tcW w:w="1926" w:type="pct"/>
          </w:tcPr>
          <w:p w:rsidR="00341F54" w:rsidRDefault="00341F54">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r>
      <w:tr w:rsidR="003904CD" w:rsidTr="00936DB1">
        <w:trPr>
          <w:jc w:val="center"/>
        </w:trPr>
        <w:tc>
          <w:tcPr>
            <w:tcW w:w="1149" w:type="pct"/>
          </w:tcPr>
          <w:p w:rsidR="003904CD" w:rsidRDefault="008158C2">
            <w:pPr>
              <w:spacing w:line="360" w:lineRule="auto"/>
              <w:jc w:val="center"/>
              <w:rPr>
                <w:rFonts w:ascii="仿宋" w:eastAsia="仿宋" w:hAnsi="仿宋" w:cs="仿宋"/>
                <w:sz w:val="28"/>
                <w:szCs w:val="28"/>
              </w:rPr>
            </w:pPr>
            <w:r>
              <w:rPr>
                <w:rFonts w:ascii="仿宋" w:eastAsia="仿宋" w:hAnsi="仿宋" w:cs="仿宋" w:hint="eastAsia"/>
                <w:sz w:val="28"/>
                <w:szCs w:val="28"/>
              </w:rPr>
              <w:t>5</w:t>
            </w:r>
          </w:p>
        </w:tc>
        <w:tc>
          <w:tcPr>
            <w:tcW w:w="1925" w:type="pct"/>
          </w:tcPr>
          <w:p w:rsidR="003904CD" w:rsidRDefault="00BB10CB">
            <w:pPr>
              <w:spacing w:line="360" w:lineRule="auto"/>
              <w:jc w:val="center"/>
              <w:rPr>
                <w:rFonts w:ascii="仿宋" w:eastAsia="仿宋" w:hAnsi="仿宋" w:cs="仿宋"/>
                <w:sz w:val="28"/>
                <w:szCs w:val="28"/>
              </w:rPr>
            </w:pPr>
            <w:r>
              <w:rPr>
                <w:rFonts w:ascii="仿宋" w:eastAsia="仿宋" w:hAnsi="仿宋" w:cs="仿宋" w:hint="eastAsia"/>
                <w:sz w:val="28"/>
                <w:szCs w:val="28"/>
              </w:rPr>
              <w:t>业务题</w:t>
            </w:r>
          </w:p>
        </w:tc>
        <w:tc>
          <w:tcPr>
            <w:tcW w:w="1926" w:type="pct"/>
          </w:tcPr>
          <w:p w:rsidR="003904CD" w:rsidRDefault="00341F54">
            <w:pPr>
              <w:spacing w:line="360" w:lineRule="auto"/>
              <w:jc w:val="center"/>
              <w:rPr>
                <w:rFonts w:ascii="仿宋" w:eastAsia="仿宋" w:hAnsi="仿宋" w:cs="仿宋"/>
                <w:sz w:val="28"/>
                <w:szCs w:val="28"/>
              </w:rPr>
            </w:pPr>
            <w:r>
              <w:rPr>
                <w:rFonts w:ascii="仿宋" w:eastAsia="仿宋" w:hAnsi="仿宋" w:cs="仿宋"/>
                <w:sz w:val="28"/>
                <w:szCs w:val="28"/>
              </w:rPr>
              <w:t>1</w:t>
            </w:r>
            <w:r w:rsidR="00BB10CB">
              <w:rPr>
                <w:rFonts w:ascii="仿宋" w:eastAsia="仿宋" w:hAnsi="仿宋" w:cs="仿宋" w:hint="eastAsia"/>
                <w:sz w:val="28"/>
                <w:szCs w:val="28"/>
              </w:rPr>
              <w:t>0</w:t>
            </w:r>
          </w:p>
        </w:tc>
      </w:tr>
    </w:tbl>
    <w:p w:rsidR="00BB10CB" w:rsidRDefault="00BB10CB">
      <w:pPr>
        <w:spacing w:line="480" w:lineRule="auto"/>
        <w:jc w:val="left"/>
        <w:rPr>
          <w:rFonts w:ascii="仿宋" w:eastAsia="仿宋" w:hAnsi="仿宋" w:cs="仿宋"/>
          <w:sz w:val="28"/>
          <w:szCs w:val="28"/>
        </w:rPr>
      </w:pPr>
    </w:p>
    <w:sectPr w:rsidR="00BB10CB" w:rsidSect="00514815">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16" w:rsidRDefault="00BB2716">
      <w:r>
        <w:separator/>
      </w:r>
    </w:p>
  </w:endnote>
  <w:endnote w:type="continuationSeparator" w:id="0">
    <w:p w:rsidR="00BB2716" w:rsidRDefault="00BB27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CD" w:rsidRDefault="00556699">
    <w:pPr>
      <w:pStyle w:val="a3"/>
      <w:jc w:val="center"/>
    </w:pPr>
    <w:r>
      <w:fldChar w:fldCharType="begin"/>
    </w:r>
    <w:r w:rsidR="00BB10CB">
      <w:instrText>PAGE   \* MERGEFORMAT</w:instrText>
    </w:r>
    <w:r>
      <w:fldChar w:fldCharType="separate"/>
    </w:r>
    <w:r w:rsidR="00756DD1" w:rsidRPr="00756DD1">
      <w:rPr>
        <w:noProof/>
        <w:lang w:val="zh-CN"/>
      </w:rPr>
      <w:t>10</w:t>
    </w:r>
    <w:r>
      <w:fldChar w:fldCharType="end"/>
    </w:r>
  </w:p>
  <w:p w:rsidR="003904CD" w:rsidRDefault="003904C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16" w:rsidRDefault="00BB2716">
      <w:r>
        <w:separator/>
      </w:r>
    </w:p>
  </w:footnote>
  <w:footnote w:type="continuationSeparator" w:id="0">
    <w:p w:rsidR="00BB2716" w:rsidRDefault="00BB27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CD" w:rsidRDefault="003904CD">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57482"/>
    <w:multiLevelType w:val="multilevel"/>
    <w:tmpl w:val="4A457482"/>
    <w:lvl w:ilvl="0">
      <w:start w:val="1"/>
      <w:numFmt w:val="japaneseCounting"/>
      <w:lvlText w:val="第%1节"/>
      <w:lvlJc w:val="left"/>
      <w:pPr>
        <w:tabs>
          <w:tab w:val="num" w:pos="1320"/>
        </w:tabs>
        <w:ind w:left="1320" w:hanging="840"/>
      </w:pPr>
      <w:rPr>
        <w:rFonts w:cs="Helvetica" w:hint="default"/>
        <w:color w:val="333333"/>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5C7E"/>
    <w:rsid w:val="00036607"/>
    <w:rsid w:val="00072356"/>
    <w:rsid w:val="000C382E"/>
    <w:rsid w:val="000D1B1C"/>
    <w:rsid w:val="000D3940"/>
    <w:rsid w:val="000F5089"/>
    <w:rsid w:val="00127AA0"/>
    <w:rsid w:val="00152777"/>
    <w:rsid w:val="001B3DCB"/>
    <w:rsid w:val="001E6A5E"/>
    <w:rsid w:val="001F39F1"/>
    <w:rsid w:val="00211862"/>
    <w:rsid w:val="002170E8"/>
    <w:rsid w:val="0024340A"/>
    <w:rsid w:val="0028714F"/>
    <w:rsid w:val="003267EA"/>
    <w:rsid w:val="003311A9"/>
    <w:rsid w:val="00341F54"/>
    <w:rsid w:val="00343A89"/>
    <w:rsid w:val="003442CD"/>
    <w:rsid w:val="003671E7"/>
    <w:rsid w:val="003904CD"/>
    <w:rsid w:val="003C2DD4"/>
    <w:rsid w:val="003C6C54"/>
    <w:rsid w:val="00400020"/>
    <w:rsid w:val="00415236"/>
    <w:rsid w:val="00465B60"/>
    <w:rsid w:val="00472C3A"/>
    <w:rsid w:val="004A2CE7"/>
    <w:rsid w:val="00514815"/>
    <w:rsid w:val="005227B8"/>
    <w:rsid w:val="005264BA"/>
    <w:rsid w:val="00552C3C"/>
    <w:rsid w:val="00556699"/>
    <w:rsid w:val="00586B36"/>
    <w:rsid w:val="00591094"/>
    <w:rsid w:val="005E4AA1"/>
    <w:rsid w:val="00644899"/>
    <w:rsid w:val="006558BB"/>
    <w:rsid w:val="00660C6D"/>
    <w:rsid w:val="006708BF"/>
    <w:rsid w:val="006B37A4"/>
    <w:rsid w:val="006D7A75"/>
    <w:rsid w:val="006E4CB9"/>
    <w:rsid w:val="00706FBE"/>
    <w:rsid w:val="00723B65"/>
    <w:rsid w:val="007277BF"/>
    <w:rsid w:val="00733966"/>
    <w:rsid w:val="00743DF4"/>
    <w:rsid w:val="00750ECF"/>
    <w:rsid w:val="007522FF"/>
    <w:rsid w:val="00756DD1"/>
    <w:rsid w:val="00775104"/>
    <w:rsid w:val="00785436"/>
    <w:rsid w:val="007B4B95"/>
    <w:rsid w:val="008158C2"/>
    <w:rsid w:val="00826E2C"/>
    <w:rsid w:val="008518E3"/>
    <w:rsid w:val="008627EC"/>
    <w:rsid w:val="00870086"/>
    <w:rsid w:val="008744F2"/>
    <w:rsid w:val="00890BBF"/>
    <w:rsid w:val="008C5C7E"/>
    <w:rsid w:val="008E1580"/>
    <w:rsid w:val="00900AB5"/>
    <w:rsid w:val="00924728"/>
    <w:rsid w:val="00936DB1"/>
    <w:rsid w:val="00941388"/>
    <w:rsid w:val="0097242A"/>
    <w:rsid w:val="009842D6"/>
    <w:rsid w:val="009963BE"/>
    <w:rsid w:val="009A7863"/>
    <w:rsid w:val="009B50BC"/>
    <w:rsid w:val="009C5F8F"/>
    <w:rsid w:val="009D430C"/>
    <w:rsid w:val="009D79F8"/>
    <w:rsid w:val="009E40C3"/>
    <w:rsid w:val="009F5B16"/>
    <w:rsid w:val="009F76A3"/>
    <w:rsid w:val="00A547E0"/>
    <w:rsid w:val="00B35108"/>
    <w:rsid w:val="00B63863"/>
    <w:rsid w:val="00B819AA"/>
    <w:rsid w:val="00B82EDB"/>
    <w:rsid w:val="00BB10CB"/>
    <w:rsid w:val="00BB2716"/>
    <w:rsid w:val="00C003AB"/>
    <w:rsid w:val="00C46429"/>
    <w:rsid w:val="00C538E7"/>
    <w:rsid w:val="00C85A1A"/>
    <w:rsid w:val="00C96767"/>
    <w:rsid w:val="00CD6558"/>
    <w:rsid w:val="00CE1607"/>
    <w:rsid w:val="00D2378D"/>
    <w:rsid w:val="00D71C56"/>
    <w:rsid w:val="00D854E7"/>
    <w:rsid w:val="00DA1704"/>
    <w:rsid w:val="00DA45E1"/>
    <w:rsid w:val="00DE3E40"/>
    <w:rsid w:val="00E3609C"/>
    <w:rsid w:val="00E718A0"/>
    <w:rsid w:val="00EB0F9A"/>
    <w:rsid w:val="00F10DAE"/>
    <w:rsid w:val="00F33A0F"/>
    <w:rsid w:val="00F348F1"/>
    <w:rsid w:val="00F41D3F"/>
    <w:rsid w:val="00F45DEA"/>
    <w:rsid w:val="00F54CCB"/>
    <w:rsid w:val="00F63EDB"/>
    <w:rsid w:val="00F81455"/>
    <w:rsid w:val="00F93DA4"/>
    <w:rsid w:val="00FA1C38"/>
    <w:rsid w:val="00FA7F42"/>
    <w:rsid w:val="00FF0276"/>
    <w:rsid w:val="0108005E"/>
    <w:rsid w:val="04FE7453"/>
    <w:rsid w:val="052A55CE"/>
    <w:rsid w:val="07D9248E"/>
    <w:rsid w:val="0C6D4559"/>
    <w:rsid w:val="105051BA"/>
    <w:rsid w:val="10684696"/>
    <w:rsid w:val="107D7A47"/>
    <w:rsid w:val="11E2573C"/>
    <w:rsid w:val="14E97F53"/>
    <w:rsid w:val="192E042F"/>
    <w:rsid w:val="19554DD0"/>
    <w:rsid w:val="19626C30"/>
    <w:rsid w:val="19824B01"/>
    <w:rsid w:val="1DF36A30"/>
    <w:rsid w:val="21241EB6"/>
    <w:rsid w:val="22D27C76"/>
    <w:rsid w:val="23F61A65"/>
    <w:rsid w:val="27164EE1"/>
    <w:rsid w:val="29F231A4"/>
    <w:rsid w:val="2BA81F47"/>
    <w:rsid w:val="2CAD271D"/>
    <w:rsid w:val="332416CB"/>
    <w:rsid w:val="387B2F7A"/>
    <w:rsid w:val="3BE47616"/>
    <w:rsid w:val="3F642F5B"/>
    <w:rsid w:val="43D21FB8"/>
    <w:rsid w:val="4AC115E4"/>
    <w:rsid w:val="4B6C4990"/>
    <w:rsid w:val="4CD44E87"/>
    <w:rsid w:val="4E610E17"/>
    <w:rsid w:val="4F2277D7"/>
    <w:rsid w:val="53F96523"/>
    <w:rsid w:val="54E40BD0"/>
    <w:rsid w:val="579465FB"/>
    <w:rsid w:val="5E883C78"/>
    <w:rsid w:val="5FAD5C60"/>
    <w:rsid w:val="60485AEE"/>
    <w:rsid w:val="605079AC"/>
    <w:rsid w:val="62E13B03"/>
    <w:rsid w:val="667F2F06"/>
    <w:rsid w:val="66D76C7A"/>
    <w:rsid w:val="68703BEB"/>
    <w:rsid w:val="688564F1"/>
    <w:rsid w:val="68B118A8"/>
    <w:rsid w:val="6AC000ED"/>
    <w:rsid w:val="6E523D1C"/>
    <w:rsid w:val="70866624"/>
    <w:rsid w:val="70BC5AA2"/>
    <w:rsid w:val="70DE4D76"/>
    <w:rsid w:val="714F54E8"/>
    <w:rsid w:val="75A03B43"/>
    <w:rsid w:val="75E21257"/>
    <w:rsid w:val="7B2C3632"/>
    <w:rsid w:val="7B90341D"/>
    <w:rsid w:val="7D320354"/>
    <w:rsid w:val="7E0D38E2"/>
    <w:rsid w:val="7E514D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81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514815"/>
    <w:rPr>
      <w:kern w:val="2"/>
      <w:sz w:val="18"/>
      <w:szCs w:val="18"/>
    </w:rPr>
  </w:style>
  <w:style w:type="paragraph" w:styleId="a4">
    <w:name w:val="Normal (Web)"/>
    <w:basedOn w:val="a"/>
    <w:rsid w:val="00514815"/>
    <w:pPr>
      <w:spacing w:beforeAutospacing="1" w:afterAutospacing="1"/>
      <w:jc w:val="left"/>
    </w:pPr>
    <w:rPr>
      <w:kern w:val="0"/>
      <w:sz w:val="24"/>
    </w:rPr>
  </w:style>
  <w:style w:type="paragraph" w:styleId="a5">
    <w:name w:val="header"/>
    <w:basedOn w:val="a"/>
    <w:rsid w:val="00514815"/>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rsid w:val="00514815"/>
    <w:pPr>
      <w:tabs>
        <w:tab w:val="center" w:pos="4153"/>
        <w:tab w:val="right" w:pos="8306"/>
      </w:tabs>
      <w:snapToGrid w:val="0"/>
      <w:jc w:val="left"/>
    </w:pPr>
    <w:rPr>
      <w:sz w:val="18"/>
      <w:szCs w:val="18"/>
    </w:rPr>
  </w:style>
  <w:style w:type="table" w:styleId="a6">
    <w:name w:val="Table Grid"/>
    <w:basedOn w:val="a1"/>
    <w:rsid w:val="00514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473</Words>
  <Characters>2702</Characters>
  <Application>Microsoft Office Word</Application>
  <DocSecurity>0</DocSecurity>
  <Lines>22</Lines>
  <Paragraphs>6</Paragraphs>
  <ScaleCrop>false</ScaleCrop>
  <Company>微软中国</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安徽财经大学商学院2019年专升本会计学专业招生考试大纲</dc:title>
  <dc:subject/>
  <dc:creator>刘天明</dc:creator>
  <cp:keywords/>
  <cp:lastModifiedBy>Administrator</cp:lastModifiedBy>
  <cp:revision>15</cp:revision>
  <dcterms:created xsi:type="dcterms:W3CDTF">2022-02-25T08:40:00Z</dcterms:created>
  <dcterms:modified xsi:type="dcterms:W3CDTF">2022-09-19T02:35:00Z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