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eastAsia="zh-CN"/>
        </w:rPr>
      </w:pPr>
      <w:bookmarkStart w:id="0" w:name="_Toc26509"/>
      <w:r>
        <w:rPr>
          <w:rFonts w:hint="eastAsia"/>
        </w:rPr>
        <w:t>海南省专升本</w:t>
      </w:r>
      <w:r>
        <w:rPr>
          <w:rFonts w:hint="eastAsia"/>
          <w:lang w:eastAsia="zh-CN"/>
        </w:rPr>
        <w:t>招生考试</w:t>
      </w:r>
      <w:bookmarkEnd w:id="0"/>
      <w:bookmarkStart w:id="1" w:name="_Toc23632"/>
      <w:bookmarkStart w:id="2" w:name="_Toc12348"/>
      <w:r>
        <w:rPr>
          <w:rFonts w:hint="eastAsia"/>
          <w:lang w:val="en-US" w:eastAsia="zh-CN"/>
        </w:rPr>
        <w:t>《法学综合》</w:t>
      </w:r>
      <w:r>
        <w:rPr>
          <w:rFonts w:hint="eastAsia"/>
          <w:lang w:eastAsia="zh-CN"/>
        </w:rPr>
        <w:t>考试大纲</w:t>
      </w:r>
      <w:bookmarkEnd w:id="1"/>
      <w:bookmarkEnd w:id="2"/>
    </w:p>
    <w:p>
      <w:pPr>
        <w:jc w:val="center"/>
        <w:rPr>
          <w:rFonts w:hint="eastAsia" w:ascii="方正小标宋简体" w:hAnsi="方正小标宋简体" w:eastAsia="方正小标宋简体" w:cs="方正小标宋简体"/>
          <w:color w:val="auto"/>
          <w:sz w:val="44"/>
          <w:szCs w:val="44"/>
          <w:lang w:eastAsia="zh-CN"/>
        </w:rPr>
      </w:pPr>
    </w:p>
    <w:p>
      <w:pPr>
        <w:pStyle w:val="4"/>
        <w:outlineLvl w:val="0"/>
        <w:rPr>
          <w:rFonts w:hint="eastAsia"/>
          <w:lang w:eastAsia="zh-CN"/>
        </w:rPr>
      </w:pPr>
      <w:r>
        <w:rPr>
          <w:rFonts w:hint="eastAsia"/>
          <w:lang w:val="en-US" w:eastAsia="zh-CN"/>
        </w:rPr>
        <w:t>一、</w:t>
      </w:r>
      <w:r>
        <w:rPr>
          <w:rFonts w:hint="eastAsia"/>
          <w:lang w:eastAsia="zh-CN"/>
        </w:rPr>
        <w:t>考试性质</w:t>
      </w:r>
    </w:p>
    <w:p>
      <w:pPr>
        <w:rPr>
          <w:rFonts w:hint="eastAsia"/>
        </w:rPr>
      </w:pPr>
      <w:r>
        <w:rPr>
          <w:rFonts w:hint="eastAsia"/>
        </w:rPr>
        <w:t>海南省</w:t>
      </w:r>
      <w:r>
        <w:rPr>
          <w:rFonts w:hint="eastAsia" w:ascii="Times New Roman" w:eastAsia="仿宋"/>
          <w:kern w:val="2"/>
          <w:sz w:val="32"/>
          <w:szCs w:val="20"/>
          <w:lang w:eastAsia="zh-CN"/>
        </w:rPr>
        <w:t>普通高等学校专升本</w:t>
      </w:r>
      <w:r>
        <w:rPr>
          <w:rFonts w:hint="eastAsia"/>
          <w:kern w:val="2"/>
          <w:sz w:val="32"/>
          <w:szCs w:val="20"/>
          <w:lang w:eastAsia="zh-CN"/>
        </w:rPr>
        <w:t>招生</w:t>
      </w:r>
      <w:r>
        <w:rPr>
          <w:rFonts w:hint="eastAsia" w:ascii="Times New Roman" w:eastAsia="仿宋"/>
          <w:kern w:val="2"/>
          <w:sz w:val="32"/>
          <w:szCs w:val="20"/>
          <w:lang w:eastAsia="zh-CN"/>
        </w:rPr>
        <w:t>考试</w:t>
      </w:r>
      <w:r>
        <w:rPr>
          <w:rFonts w:hint="eastAsia"/>
        </w:rPr>
        <w:t>是</w:t>
      </w:r>
      <w:r>
        <w:rPr>
          <w:rFonts w:hint="eastAsia" w:ascii="仿宋_GB2312" w:hAnsi="仿宋_GB2312" w:eastAsia="仿宋_GB2312"/>
          <w:color w:val="auto"/>
          <w:sz w:val="32"/>
          <w:szCs w:val="32"/>
        </w:rPr>
        <w:t>普通高等学校普通专科层次</w:t>
      </w:r>
      <w:r>
        <w:rPr>
          <w:rFonts w:hint="eastAsia"/>
        </w:rPr>
        <w:t>应届毕业生参加的选拔性考试。高等院校根据考试的成绩，按照已确定的招生计划数，择优录取。因此考试应该具有较高的信度、效度、恰当的难度和必要的区分度。</w:t>
      </w:r>
    </w:p>
    <w:p>
      <w:pPr>
        <w:pStyle w:val="4"/>
        <w:outlineLvl w:val="0"/>
        <w:rPr>
          <w:rFonts w:hint="eastAsia"/>
          <w:lang w:val="en-US" w:eastAsia="zh-CN"/>
        </w:rPr>
      </w:pPr>
      <w:r>
        <w:rPr>
          <w:rFonts w:hint="eastAsia"/>
          <w:lang w:val="en-US" w:eastAsia="zh-CN"/>
        </w:rPr>
        <w:t>二、考试内容与范围</w:t>
      </w:r>
    </w:p>
    <w:p>
      <w:pPr>
        <w:pStyle w:val="5"/>
        <w:outlineLvl w:val="1"/>
        <w:rPr>
          <w:rFonts w:hint="default"/>
          <w:lang w:val="en-US" w:eastAsia="zh-CN"/>
        </w:rPr>
      </w:pPr>
      <w:r>
        <w:rPr>
          <w:rFonts w:hint="eastAsia"/>
          <w:lang w:val="en-US" w:eastAsia="zh-CN"/>
        </w:rPr>
        <w:t>（一）刑法科目</w:t>
      </w:r>
    </w:p>
    <w:p>
      <w:pPr>
        <w:rPr>
          <w:rFonts w:hint="eastAsia"/>
          <w:lang w:val="en-US" w:eastAsia="zh-CN"/>
        </w:rPr>
      </w:pPr>
      <w:r>
        <w:rPr>
          <w:rFonts w:hint="eastAsia"/>
          <w:lang w:val="en-US" w:eastAsia="zh-CN"/>
        </w:rPr>
        <w:t>《刑法》考试要求学生掌握刑法论、犯罪论、刑罚论、侵犯个人法益犯罪、侵犯社会法益犯罪、侵犯国家法益犯罪内容，共考查六部分内容。</w:t>
      </w:r>
    </w:p>
    <w:p>
      <w:pPr>
        <w:rPr>
          <w:rFonts w:hint="eastAsia"/>
          <w:lang w:val="en-US" w:eastAsia="zh-CN"/>
        </w:rPr>
      </w:pPr>
      <w:r>
        <w:rPr>
          <w:rFonts w:hint="eastAsia"/>
          <w:lang w:val="en-US" w:eastAsia="zh-CN"/>
        </w:rPr>
        <w:t>【考查目标】学生能够掌握刑法的有关犯罪、刑事责任和刑罚的一般原理、原则和制度，牢固掌握我国刑法的各项具体规定，并能运用相关知识分析典型刑事个案，能够正确判断罪与非罪、此罪与彼罪的界限，准确认定各种犯罪形态，准确适用刑罚。</w:t>
      </w:r>
    </w:p>
    <w:p>
      <w:pPr>
        <w:widowControl w:val="0"/>
        <w:numPr>
          <w:ilvl w:val="0"/>
          <w:numId w:val="0"/>
        </w:numPr>
        <w:wordWrap/>
        <w:adjustRightInd/>
        <w:snapToGrid/>
        <w:spacing w:line="560" w:lineRule="exact"/>
        <w:ind w:firstLine="642" w:firstLineChars="200"/>
        <w:textAlignment w:val="auto"/>
        <w:outlineLvl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【考查内容】</w:t>
      </w:r>
    </w:p>
    <w:p>
      <w:pPr>
        <w:pStyle w:val="5"/>
        <w:rPr>
          <w:rFonts w:hint="eastAsia" w:ascii="Times New Roman" w:hAnsi="Times New Roman" w:eastAsia="楷体" w:cs="Times New Roman"/>
          <w:b/>
          <w:bCs w:val="0"/>
          <w:sz w:val="32"/>
          <w:szCs w:val="20"/>
          <w:lang w:val="en-US" w:eastAsia="zh-CN"/>
        </w:rPr>
      </w:pPr>
      <w:r>
        <w:rPr>
          <w:rFonts w:hint="eastAsia" w:ascii="Times New Roman" w:hAnsi="Times New Roman" w:cs="Times New Roman"/>
          <w:b/>
          <w:bCs w:val="0"/>
          <w:sz w:val="32"/>
          <w:szCs w:val="20"/>
          <w:lang w:val="en-US" w:eastAsia="zh-CN"/>
        </w:rPr>
        <w:t>1.</w:t>
      </w:r>
      <w:r>
        <w:rPr>
          <w:rFonts w:hint="eastAsia" w:ascii="Times New Roman" w:hAnsi="Times New Roman" w:eastAsia="楷体" w:cs="Times New Roman"/>
          <w:b/>
          <w:bCs w:val="0"/>
          <w:sz w:val="32"/>
          <w:szCs w:val="20"/>
          <w:lang w:val="en-US" w:eastAsia="zh-CN"/>
        </w:rPr>
        <w:t>刑法论</w:t>
      </w:r>
    </w:p>
    <w:p>
      <w:pPr>
        <w:rPr>
          <w:rFonts w:hint="default"/>
          <w:lang w:val="en-US" w:eastAsia="zh-CN"/>
        </w:rPr>
      </w:pPr>
      <w:r>
        <w:rPr>
          <w:rFonts w:hint="eastAsia"/>
          <w:lang w:val="en-US" w:eastAsia="zh-CN"/>
        </w:rPr>
        <w:t>（1）刑法概述:刑法的概念和性质、刑法的制定根据、刑法的任务、刑法的体系、刑法</w:t>
      </w:r>
      <w:bookmarkStart w:id="3" w:name="_GoBack"/>
      <w:bookmarkEnd w:id="3"/>
      <w:r>
        <w:rPr>
          <w:rFonts w:hint="eastAsia"/>
          <w:lang w:val="en-US" w:eastAsia="zh-CN"/>
        </w:rPr>
        <w:t>的解释。</w:t>
      </w:r>
    </w:p>
    <w:p>
      <w:pPr>
        <w:rPr>
          <w:rFonts w:hint="eastAsia"/>
          <w:lang w:val="en-US" w:eastAsia="zh-CN"/>
        </w:rPr>
      </w:pPr>
      <w:r>
        <w:rPr>
          <w:rFonts w:hint="eastAsia"/>
          <w:lang w:val="en-US" w:eastAsia="zh-CN"/>
        </w:rPr>
        <w:t>（2）刑法的基本原则:</w:t>
      </w:r>
      <w:r>
        <w:rPr>
          <w:rFonts w:hint="eastAsia"/>
        </w:rPr>
        <w:t>刑</w:t>
      </w:r>
      <w:r>
        <w:rPr>
          <w:rFonts w:hint="eastAsia"/>
          <w:lang w:val="en-US" w:eastAsia="zh-CN"/>
        </w:rPr>
        <w:t>法基本原则的界定和意义、罪刑法定原则、适用刑法人人平等原则、罪责刑相适应原则。</w:t>
      </w:r>
    </w:p>
    <w:p>
      <w:pPr>
        <w:outlineLvl w:val="4"/>
        <w:rPr>
          <w:rFonts w:hint="eastAsia"/>
          <w:lang w:val="en-US" w:eastAsia="zh-CN"/>
        </w:rPr>
      </w:pPr>
      <w:r>
        <w:rPr>
          <w:rFonts w:hint="eastAsia"/>
          <w:lang w:val="en-US" w:eastAsia="zh-CN"/>
        </w:rPr>
        <w:t>（3）刑法的效力范围：刑法的空间效力、刑法的时间效力。</w:t>
      </w:r>
    </w:p>
    <w:p>
      <w:pPr>
        <w:pStyle w:val="5"/>
        <w:rPr>
          <w:rFonts w:hint="eastAsia" w:ascii="Times New Roman" w:hAnsi="Times New Roman" w:eastAsia="楷体" w:cs="Times New Roman"/>
          <w:b/>
          <w:bCs w:val="0"/>
          <w:sz w:val="32"/>
          <w:szCs w:val="20"/>
          <w:lang w:val="en-US" w:eastAsia="zh-CN"/>
        </w:rPr>
      </w:pPr>
      <w:r>
        <w:rPr>
          <w:rFonts w:hint="eastAsia" w:ascii="Times New Roman" w:hAnsi="Times New Roman" w:cs="Times New Roman"/>
          <w:b/>
          <w:bCs w:val="0"/>
          <w:sz w:val="32"/>
          <w:szCs w:val="20"/>
          <w:lang w:val="en-US" w:eastAsia="zh-CN"/>
        </w:rPr>
        <w:t>2.</w:t>
      </w:r>
      <w:r>
        <w:rPr>
          <w:rFonts w:hint="eastAsia" w:ascii="Times New Roman" w:hAnsi="Times New Roman" w:eastAsia="楷体" w:cs="Times New Roman"/>
          <w:b/>
          <w:bCs w:val="0"/>
          <w:sz w:val="32"/>
          <w:szCs w:val="20"/>
          <w:lang w:val="en-US" w:eastAsia="zh-CN"/>
        </w:rPr>
        <w:t>犯罪论</w:t>
      </w:r>
    </w:p>
    <w:p>
      <w:pPr>
        <w:rPr>
          <w:rFonts w:hint="eastAsia"/>
          <w:lang w:val="en-US" w:eastAsia="zh-CN"/>
        </w:rPr>
      </w:pPr>
      <w:r>
        <w:rPr>
          <w:rFonts w:hint="eastAsia"/>
          <w:lang w:val="en-US" w:eastAsia="zh-CN"/>
        </w:rPr>
        <w:t>（4）犯罪概念与犯罪构成：犯罪概念的类型、我国刑法中的犯罪概念、犯罪构成的概念和特征、犯罪构成的意义、犯罪构成的共同要件。</w:t>
      </w:r>
    </w:p>
    <w:p>
      <w:pPr>
        <w:rPr>
          <w:rFonts w:hint="eastAsia"/>
          <w:lang w:val="en-US" w:eastAsia="zh-CN"/>
        </w:rPr>
      </w:pPr>
      <w:r>
        <w:rPr>
          <w:rFonts w:hint="eastAsia"/>
          <w:lang w:val="en-US" w:eastAsia="zh-CN"/>
        </w:rPr>
        <w:t>（5）犯罪客体和犯罪客观方面：犯罪客体概述、犯罪客体的种类，犯罪客观方面概述、危害行为、危害结果、危害行为与危害结果之间的因果关系、犯罪的其他客观要件。</w:t>
      </w:r>
    </w:p>
    <w:p>
      <w:pPr>
        <w:rPr>
          <w:rFonts w:hint="eastAsia"/>
          <w:lang w:val="en-US" w:eastAsia="zh-CN"/>
        </w:rPr>
      </w:pPr>
      <w:r>
        <w:rPr>
          <w:rFonts w:hint="eastAsia"/>
          <w:lang w:val="en-US" w:eastAsia="zh-CN"/>
        </w:rPr>
        <w:t>（6）犯罪主体和犯罪主观方面：犯罪主体概述、刑事责任能力、影响刑事责任能力的因素、犯罪主体的特殊身份、单位犯罪，犯罪主观方面概述、犯罪的故意、犯罪的过失、犯罪的目的和动机、刑法上的认识错误。</w:t>
      </w:r>
    </w:p>
    <w:p>
      <w:pPr>
        <w:rPr>
          <w:rFonts w:hint="eastAsia"/>
          <w:lang w:val="en-US" w:eastAsia="zh-CN"/>
        </w:rPr>
      </w:pPr>
      <w:r>
        <w:rPr>
          <w:rFonts w:hint="eastAsia"/>
          <w:lang w:val="en-US" w:eastAsia="zh-CN"/>
        </w:rPr>
        <w:t>（7）故意犯罪停止形态：故意犯罪停止形态概述、犯罪既遂、犯罪预备、犯罪未遂、犯罪中止。</w:t>
      </w:r>
    </w:p>
    <w:p>
      <w:pPr>
        <w:rPr>
          <w:rFonts w:hint="eastAsia"/>
          <w:lang w:val="en-US" w:eastAsia="zh-CN"/>
        </w:rPr>
      </w:pPr>
      <w:r>
        <w:rPr>
          <w:rFonts w:hint="eastAsia"/>
          <w:lang w:val="en-US" w:eastAsia="zh-CN"/>
        </w:rPr>
        <w:t>（8）共同犯罪：共同犯罪的概念和成立条件、共同犯罪的认定、共同犯罪的形式、共同犯罪人的种类及其刑事责任。</w:t>
      </w:r>
    </w:p>
    <w:p>
      <w:pPr>
        <w:rPr>
          <w:rFonts w:hint="eastAsia"/>
          <w:lang w:val="en-US" w:eastAsia="zh-CN"/>
        </w:rPr>
      </w:pPr>
      <w:r>
        <w:rPr>
          <w:rFonts w:hint="eastAsia"/>
          <w:lang w:val="en-US" w:eastAsia="zh-CN"/>
        </w:rPr>
        <w:t>（9）罪数：认定罪数的标准、一罪的类型、数罪的类型。</w:t>
      </w:r>
    </w:p>
    <w:p>
      <w:pPr>
        <w:rPr>
          <w:rFonts w:hint="eastAsia"/>
          <w:lang w:val="en-US" w:eastAsia="zh-CN"/>
        </w:rPr>
      </w:pPr>
      <w:r>
        <w:rPr>
          <w:rFonts w:hint="eastAsia"/>
          <w:lang w:val="en-US" w:eastAsia="zh-CN"/>
        </w:rPr>
        <w:t>（10）正当防卫与紧急避险：正当防卫、紧急避险。</w:t>
      </w:r>
    </w:p>
    <w:p>
      <w:pPr>
        <w:pStyle w:val="5"/>
        <w:rPr>
          <w:rFonts w:hint="eastAsia" w:ascii="Times New Roman" w:hAnsi="Times New Roman" w:eastAsia="楷体" w:cs="Times New Roman"/>
          <w:b/>
          <w:bCs w:val="0"/>
          <w:sz w:val="32"/>
          <w:szCs w:val="20"/>
          <w:lang w:val="en-US" w:eastAsia="zh-CN"/>
        </w:rPr>
      </w:pPr>
      <w:r>
        <w:rPr>
          <w:rFonts w:hint="eastAsia" w:ascii="Times New Roman" w:hAnsi="Times New Roman" w:cs="Times New Roman"/>
          <w:b/>
          <w:bCs w:val="0"/>
          <w:sz w:val="32"/>
          <w:szCs w:val="20"/>
          <w:lang w:val="en-US" w:eastAsia="zh-CN"/>
        </w:rPr>
        <w:t>3.</w:t>
      </w:r>
      <w:r>
        <w:rPr>
          <w:rFonts w:hint="eastAsia" w:ascii="Times New Roman" w:hAnsi="Times New Roman" w:eastAsia="楷体" w:cs="Times New Roman"/>
          <w:b/>
          <w:bCs w:val="0"/>
          <w:sz w:val="32"/>
          <w:szCs w:val="20"/>
          <w:lang w:val="en-US" w:eastAsia="zh-CN"/>
        </w:rPr>
        <w:t>刑罚论</w:t>
      </w:r>
    </w:p>
    <w:p>
      <w:pPr>
        <w:outlineLvl w:val="4"/>
        <w:rPr>
          <w:rFonts w:hint="eastAsia"/>
          <w:lang w:val="en-US" w:eastAsia="zh-CN"/>
        </w:rPr>
      </w:pPr>
      <w:r>
        <w:rPr>
          <w:rFonts w:hint="eastAsia"/>
          <w:lang w:val="en-US" w:eastAsia="zh-CN"/>
        </w:rPr>
        <w:t>（11）刑罚概述：刑罚的体系、主刑、附加刑、非刑罚处理方法。</w:t>
      </w:r>
    </w:p>
    <w:p>
      <w:pPr>
        <w:rPr>
          <w:rFonts w:hint="eastAsia"/>
          <w:lang w:val="en-US" w:eastAsia="zh-CN"/>
        </w:rPr>
      </w:pPr>
      <w:r>
        <w:rPr>
          <w:rFonts w:hint="eastAsia"/>
          <w:lang w:val="en-US" w:eastAsia="zh-CN"/>
        </w:rPr>
        <w:t>（12）刑罚裁量：刑罚裁量概述、累犯、自首、坦白和立功、数罪并罚、缓刑。</w:t>
      </w:r>
    </w:p>
    <w:p>
      <w:pPr>
        <w:rPr>
          <w:rFonts w:hint="eastAsia"/>
          <w:lang w:val="en-US" w:eastAsia="zh-CN"/>
        </w:rPr>
      </w:pPr>
      <w:r>
        <w:rPr>
          <w:rFonts w:hint="eastAsia"/>
          <w:lang w:val="en-US" w:eastAsia="zh-CN"/>
        </w:rPr>
        <w:t>（13）刑罚执行：刑罚执行、减刑、假释。</w:t>
      </w:r>
    </w:p>
    <w:p>
      <w:pPr>
        <w:rPr>
          <w:rFonts w:hint="eastAsia"/>
          <w:lang w:val="en-US" w:eastAsia="zh-CN"/>
        </w:rPr>
      </w:pPr>
      <w:r>
        <w:rPr>
          <w:rFonts w:hint="eastAsia"/>
          <w:lang w:val="en-US" w:eastAsia="zh-CN"/>
        </w:rPr>
        <w:t>（14）刑罚消灭：时效、赦免。</w:t>
      </w:r>
    </w:p>
    <w:p>
      <w:pPr>
        <w:pStyle w:val="5"/>
        <w:outlineLvl w:val="2"/>
        <w:rPr>
          <w:rFonts w:hint="eastAsia"/>
          <w:lang w:val="en-US" w:eastAsia="zh-CN"/>
        </w:rPr>
      </w:pPr>
      <w:r>
        <w:rPr>
          <w:rFonts w:hint="eastAsia"/>
          <w:lang w:val="en-US" w:eastAsia="zh-CN"/>
        </w:rPr>
        <w:t>4.侵犯个人法益犯罪</w:t>
      </w:r>
    </w:p>
    <w:p>
      <w:pPr>
        <w:rPr>
          <w:rFonts w:hint="eastAsia"/>
          <w:lang w:val="en-US" w:eastAsia="zh-CN"/>
        </w:rPr>
      </w:pPr>
      <w:r>
        <w:rPr>
          <w:rFonts w:hint="eastAsia"/>
          <w:lang w:val="en-US" w:eastAsia="zh-CN"/>
        </w:rPr>
        <w:t>（15）人身犯罪：故意杀人罪、故意伤害罪、强奸罪、强制猥亵、侮辱罪、绑架罪、拐卖妇女、儿童罪、刑讯逼供罪、重婚罪、虐待罪。</w:t>
      </w:r>
    </w:p>
    <w:p>
      <w:pPr>
        <w:rPr>
          <w:rFonts w:hint="eastAsia"/>
          <w:lang w:val="en-US" w:eastAsia="zh-CN"/>
        </w:rPr>
      </w:pPr>
      <w:r>
        <w:rPr>
          <w:rFonts w:hint="eastAsia"/>
          <w:lang w:val="en-US" w:eastAsia="zh-CN"/>
        </w:rPr>
        <w:t>（16）财产犯罪：夺取型：抢劫罪、抢夺罪、盗窃罪；交付型：诈骗罪、敲诈勒索罪；侵占型：侵占罪、职务侵占罪；挪用型：挪用资金罪、挪用特定款物罪；毁弃型：故意毁坏财物罪、破坏生产经营罪。</w:t>
      </w:r>
    </w:p>
    <w:p>
      <w:pPr>
        <w:pStyle w:val="5"/>
        <w:outlineLvl w:val="2"/>
        <w:rPr>
          <w:rFonts w:hint="eastAsia"/>
          <w:lang w:val="en-US" w:eastAsia="zh-CN"/>
        </w:rPr>
      </w:pPr>
      <w:r>
        <w:rPr>
          <w:rFonts w:hint="eastAsia"/>
          <w:lang w:val="en-US" w:eastAsia="zh-CN"/>
        </w:rPr>
        <w:t>5.侵犯社会法益犯罪</w:t>
      </w:r>
    </w:p>
    <w:p>
      <w:pPr>
        <w:rPr>
          <w:rFonts w:hint="eastAsia"/>
          <w:lang w:val="en-US" w:eastAsia="zh-CN"/>
        </w:rPr>
      </w:pPr>
      <w:r>
        <w:rPr>
          <w:rFonts w:hint="eastAsia"/>
          <w:lang w:val="en-US" w:eastAsia="zh-CN"/>
        </w:rPr>
        <w:t>（17）危害公共安全犯罪：放火罪、爆炸罪、投放危险物质罪、组织、领导、参加恐怖组织罪、交通肇事罪、重大责任事故罪。</w:t>
      </w:r>
    </w:p>
    <w:p>
      <w:pPr>
        <w:rPr>
          <w:rFonts w:hint="eastAsia"/>
          <w:lang w:val="en-US" w:eastAsia="zh-CN"/>
        </w:rPr>
      </w:pPr>
      <w:r>
        <w:rPr>
          <w:rFonts w:hint="eastAsia"/>
          <w:lang w:val="en-US" w:eastAsia="zh-CN"/>
        </w:rPr>
        <w:t>（18）破坏经济秩序犯罪：生产、销售伪劣产品罪、生产、销售有毒、有害食品罪、走私普通货物、物品罪、非国家工作人员受贿罪、洗钱罪、集资诈骗罪、保险诈骗罪、合同诈骗罪、非法经营罪。</w:t>
      </w:r>
    </w:p>
    <w:p>
      <w:pPr>
        <w:rPr>
          <w:rFonts w:hint="eastAsia"/>
          <w:lang w:val="en-US" w:eastAsia="zh-CN"/>
        </w:rPr>
      </w:pPr>
      <w:r>
        <w:rPr>
          <w:rFonts w:hint="eastAsia"/>
          <w:lang w:val="en-US" w:eastAsia="zh-CN"/>
        </w:rPr>
        <w:t>（19）妨害社会管理犯罪：妨害公务罪、招摇撞骗罪、破坏计算机信息系统罪、组织、领导、参加黑社会性质组织罪、拒不执行判决、裁定罪、非法狩猎罪、走私、贩卖、运输、制造毒品罪、非法持有毒品罪、组织卖淫罪、传播性病罪。</w:t>
      </w:r>
    </w:p>
    <w:p>
      <w:pPr>
        <w:pStyle w:val="5"/>
        <w:outlineLvl w:val="2"/>
        <w:rPr>
          <w:rFonts w:hint="default"/>
          <w:lang w:val="en-US" w:eastAsia="zh-CN"/>
        </w:rPr>
      </w:pPr>
      <w:r>
        <w:rPr>
          <w:rFonts w:hint="eastAsia"/>
          <w:lang w:val="en-US" w:eastAsia="zh-CN"/>
        </w:rPr>
        <w:t>6.侵犯国家法益犯罪</w:t>
      </w:r>
    </w:p>
    <w:p>
      <w:pPr>
        <w:rPr>
          <w:rFonts w:hint="eastAsia"/>
          <w:lang w:val="en-US" w:eastAsia="zh-CN"/>
        </w:rPr>
      </w:pPr>
      <w:r>
        <w:rPr>
          <w:rFonts w:hint="eastAsia"/>
          <w:lang w:val="en-US" w:eastAsia="zh-CN"/>
        </w:rPr>
        <w:t>（20）侵犯国家职能之贪贿罪：贪污罪、挪用公款罪、受贿罪、行贿罪、巨额财产来源不明罪、私分国有资产罪。</w:t>
      </w:r>
    </w:p>
    <w:p>
      <w:pPr>
        <w:rPr>
          <w:rFonts w:hint="eastAsia"/>
          <w:lang w:val="en-US" w:eastAsia="zh-CN"/>
        </w:rPr>
      </w:pPr>
      <w:r>
        <w:rPr>
          <w:rFonts w:hint="eastAsia"/>
          <w:lang w:val="en-US" w:eastAsia="zh-CN"/>
        </w:rPr>
        <w:t>（21）侵犯国家职能之渎职罪：滥用职权罪、玩忽职守罪、故意泄露国家秘密罪、徇私枉法罪、枉法裁判罪、私放在押人员罪、国家机关工作人员签订、履行合同失职罪。</w:t>
      </w:r>
    </w:p>
    <w:p>
      <w:pPr>
        <w:pStyle w:val="5"/>
        <w:outlineLvl w:val="1"/>
        <w:rPr>
          <w:rFonts w:hint="default"/>
          <w:lang w:val="en-US" w:eastAsia="zh-CN"/>
        </w:rPr>
      </w:pPr>
      <w:r>
        <w:rPr>
          <w:rFonts w:hint="eastAsia"/>
          <w:lang w:val="en-US" w:eastAsia="zh-CN"/>
        </w:rPr>
        <w:t>（二）民法科目</w:t>
      </w:r>
    </w:p>
    <w:p>
      <w:pPr>
        <w:rPr>
          <w:rFonts w:hint="eastAsia"/>
          <w:lang w:val="en-US" w:eastAsia="zh-CN"/>
        </w:rPr>
      </w:pPr>
      <w:r>
        <w:rPr>
          <w:rFonts w:hint="eastAsia"/>
          <w:lang w:val="en-US" w:eastAsia="zh-CN"/>
        </w:rPr>
        <w:t>《民法》考试要求学生掌握民法总论、物权、合同、人格权、婚姻家庭、侵权责任，共考查六部分内容。</w:t>
      </w:r>
    </w:p>
    <w:p>
      <w:pPr>
        <w:rPr>
          <w:rFonts w:hint="eastAsia"/>
          <w:lang w:val="en-US" w:eastAsia="zh-CN"/>
        </w:rPr>
      </w:pPr>
      <w:r>
        <w:rPr>
          <w:rFonts w:hint="eastAsia"/>
          <w:lang w:val="en-US" w:eastAsia="zh-CN"/>
        </w:rPr>
        <w:t>【考查目标】学生能够牢固掌握我国民事法律基本制度，熟悉我国民事法律基本法律规范，运用民法基础原理分析典型常见民事个案，并且具备运用民法理论知识和现行民事法律规范对进行案例分析的能力。</w:t>
      </w:r>
    </w:p>
    <w:p>
      <w:pPr>
        <w:widowControl w:val="0"/>
        <w:numPr>
          <w:ilvl w:val="0"/>
          <w:numId w:val="0"/>
        </w:numPr>
        <w:wordWrap/>
        <w:adjustRightInd/>
        <w:snapToGrid/>
        <w:spacing w:line="560" w:lineRule="exact"/>
        <w:ind w:firstLine="642" w:firstLineChars="200"/>
        <w:textAlignment w:val="auto"/>
        <w:outlineLvl w:val="2"/>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【考查内容】</w:t>
      </w:r>
    </w:p>
    <w:p>
      <w:pPr>
        <w:pStyle w:val="5"/>
        <w:outlineLvl w:val="2"/>
        <w:rPr>
          <w:rFonts w:hint="eastAsia"/>
          <w:lang w:val="en-US" w:eastAsia="zh-CN"/>
        </w:rPr>
      </w:pPr>
      <w:r>
        <w:rPr>
          <w:rFonts w:hint="eastAsia"/>
          <w:lang w:val="en-US" w:eastAsia="zh-CN"/>
        </w:rPr>
        <w:t>1.民法总论</w:t>
      </w:r>
    </w:p>
    <w:p>
      <w:pPr>
        <w:outlineLvl w:val="4"/>
        <w:rPr>
          <w:rFonts w:hint="eastAsia"/>
          <w:lang w:val="en-US" w:eastAsia="zh-CN"/>
        </w:rPr>
      </w:pPr>
      <w:r>
        <w:rPr>
          <w:rFonts w:hint="eastAsia"/>
          <w:lang w:val="en-US" w:eastAsia="zh-CN"/>
        </w:rPr>
        <w:t>（1）民法概述：民法的概念和性质；民法调整对象；民法的渊源。</w:t>
      </w:r>
    </w:p>
    <w:p>
      <w:pPr>
        <w:rPr>
          <w:rFonts w:hint="eastAsia"/>
          <w:lang w:val="en-US" w:eastAsia="zh-CN"/>
        </w:rPr>
      </w:pPr>
      <w:r>
        <w:rPr>
          <w:rFonts w:hint="eastAsia"/>
          <w:lang w:val="en-US" w:eastAsia="zh-CN"/>
        </w:rPr>
        <w:t>（2）民法基本原则：自愿原则、诚实信用原则、公平原则、公序良俗原则、生态环境保护原则。</w:t>
      </w:r>
    </w:p>
    <w:p>
      <w:pPr>
        <w:outlineLvl w:val="4"/>
        <w:rPr>
          <w:rFonts w:hint="eastAsia"/>
          <w:lang w:val="en-US" w:eastAsia="zh-CN"/>
        </w:rPr>
      </w:pPr>
      <w:r>
        <w:rPr>
          <w:rFonts w:hint="eastAsia"/>
          <w:lang w:val="en-US" w:eastAsia="zh-CN"/>
        </w:rPr>
        <w:t>（3）民事法律关系：民事法律关系的概念；民事法律关系构成要素。</w:t>
      </w:r>
    </w:p>
    <w:p>
      <w:pPr>
        <w:rPr>
          <w:rFonts w:hint="eastAsia"/>
          <w:lang w:val="en-US" w:eastAsia="zh-CN"/>
        </w:rPr>
      </w:pPr>
      <w:r>
        <w:rPr>
          <w:rFonts w:hint="eastAsia"/>
          <w:lang w:val="en-US" w:eastAsia="zh-CN"/>
        </w:rPr>
        <w:t>（4）民事主体：自然人民事权利能力取得终止和民事行为能力的划分；监护的设定及监护人的职责；宣告失踪和宣告死亡的条件及法律后果；法人的成立条件及民事能力。</w:t>
      </w:r>
    </w:p>
    <w:p>
      <w:pPr>
        <w:rPr>
          <w:rFonts w:hint="default"/>
          <w:lang w:val="en-US" w:eastAsia="zh-CN"/>
        </w:rPr>
      </w:pPr>
      <w:r>
        <w:rPr>
          <w:rFonts w:hint="eastAsia"/>
          <w:lang w:val="en-US" w:eastAsia="zh-CN"/>
        </w:rPr>
        <w:t>（5）民法法律关系的客体：物的概念、特征和分类； 有价证券的特征。</w:t>
      </w:r>
    </w:p>
    <w:p>
      <w:pPr>
        <w:rPr>
          <w:rFonts w:hint="eastAsia"/>
          <w:lang w:val="en-US" w:eastAsia="zh-CN"/>
        </w:rPr>
      </w:pPr>
      <w:r>
        <w:rPr>
          <w:rFonts w:hint="eastAsia"/>
          <w:lang w:val="en-US" w:eastAsia="zh-CN"/>
        </w:rPr>
        <w:t>（6）民事法律行为：意思表示的概念、意思表示的分类及具体方法；民事法律行为的成立及其生效；民事法律行为的的效力（无效民事法律行为、可撤销民事法律行为、效力未定民事法律行为的类型）。</w:t>
      </w:r>
    </w:p>
    <w:p>
      <w:pPr>
        <w:rPr>
          <w:rFonts w:hint="eastAsia"/>
          <w:lang w:val="en-US" w:eastAsia="zh-CN"/>
        </w:rPr>
      </w:pPr>
      <w:r>
        <w:rPr>
          <w:rFonts w:hint="eastAsia"/>
          <w:lang w:val="en-US" w:eastAsia="zh-CN"/>
        </w:rPr>
        <w:t>（7）代理：代理的概念及类型；无权代理的概念及类型；表见代理的构成要件和法律效果。</w:t>
      </w:r>
    </w:p>
    <w:p>
      <w:pPr>
        <w:outlineLvl w:val="4"/>
        <w:rPr>
          <w:rFonts w:hint="default"/>
          <w:lang w:val="en-US" w:eastAsia="zh-CN"/>
        </w:rPr>
      </w:pPr>
      <w:r>
        <w:rPr>
          <w:rFonts w:hint="eastAsia"/>
          <w:lang w:val="en-US" w:eastAsia="zh-CN"/>
        </w:rPr>
        <w:t>（8）民事责任：不承担或减轻民事责任的情形。</w:t>
      </w:r>
    </w:p>
    <w:p>
      <w:pPr>
        <w:rPr>
          <w:rFonts w:hint="default"/>
          <w:lang w:val="en-US" w:eastAsia="zh-CN"/>
        </w:rPr>
      </w:pPr>
      <w:r>
        <w:rPr>
          <w:rFonts w:hint="eastAsia"/>
          <w:lang w:val="en-US" w:eastAsia="zh-CN"/>
        </w:rPr>
        <w:t>（9）诉讼时效与期限：诉讼时效的含义；诉讼时效的适用范围；诉讼时效的起算、中止、中断和延长。</w:t>
      </w:r>
    </w:p>
    <w:p>
      <w:pPr>
        <w:pStyle w:val="5"/>
        <w:outlineLvl w:val="2"/>
        <w:rPr>
          <w:rFonts w:hint="eastAsia"/>
          <w:lang w:val="en-US" w:eastAsia="zh-CN"/>
        </w:rPr>
      </w:pPr>
      <w:r>
        <w:rPr>
          <w:rFonts w:hint="eastAsia"/>
          <w:lang w:val="en-US" w:eastAsia="zh-CN"/>
        </w:rPr>
        <w:t>2.物权</w:t>
      </w:r>
    </w:p>
    <w:p>
      <w:pPr>
        <w:rPr>
          <w:rFonts w:hint="default"/>
          <w:lang w:val="en-US" w:eastAsia="zh-CN"/>
        </w:rPr>
      </w:pPr>
      <w:r>
        <w:rPr>
          <w:rFonts w:hint="eastAsia"/>
          <w:lang w:val="en-US" w:eastAsia="zh-CN"/>
        </w:rPr>
        <w:t>（10）物权总论：物权的概念、物权的效力、物权的种类、物权的变动、物权的保护。</w:t>
      </w:r>
    </w:p>
    <w:p>
      <w:pPr>
        <w:rPr>
          <w:rFonts w:hint="eastAsia"/>
          <w:lang w:val="en-US" w:eastAsia="zh-CN"/>
        </w:rPr>
      </w:pPr>
      <w:r>
        <w:rPr>
          <w:rFonts w:hint="eastAsia"/>
          <w:lang w:val="en-US" w:eastAsia="zh-CN"/>
        </w:rPr>
        <w:t>（11）所有权：所有权的概念、特征和类型；所有权取得的特别规定；相邻关系的种类及处理原则；共同共有及按份共有制度及其区别；业主建筑物区分所有权的内容。</w:t>
      </w:r>
    </w:p>
    <w:p>
      <w:pPr>
        <w:rPr>
          <w:rFonts w:hint="default"/>
          <w:lang w:val="en-US" w:eastAsia="zh-CN"/>
        </w:rPr>
      </w:pPr>
      <w:r>
        <w:rPr>
          <w:rFonts w:hint="eastAsia"/>
          <w:lang w:val="en-US" w:eastAsia="zh-CN"/>
        </w:rPr>
        <w:t>（12）担保物权：担保物权的含义和类型；抵押权、质权、留置权的设立、效力和消灭。</w:t>
      </w:r>
    </w:p>
    <w:p>
      <w:pPr>
        <w:widowControl w:val="0"/>
        <w:numPr>
          <w:ilvl w:val="0"/>
          <w:numId w:val="0"/>
        </w:numPr>
        <w:wordWrap/>
        <w:adjustRightInd/>
        <w:snapToGrid/>
        <w:spacing w:line="560" w:lineRule="exact"/>
        <w:ind w:firstLine="642" w:firstLineChars="200"/>
        <w:textAlignment w:val="auto"/>
        <w:outlineLvl w:val="2"/>
        <w:rPr>
          <w:rFonts w:hint="default" w:ascii="仿宋" w:hAnsi="仿宋" w:eastAsia="仿宋" w:cs="仿宋"/>
          <w:b/>
          <w:bCs/>
          <w:color w:val="auto"/>
          <w:sz w:val="32"/>
          <w:szCs w:val="32"/>
          <w:lang w:val="en-US" w:eastAsia="zh-CN"/>
        </w:rPr>
      </w:pPr>
      <w:r>
        <w:rPr>
          <w:rFonts w:hint="eastAsia" w:ascii="仿宋" w:hAnsi="仿宋" w:cs="仿宋"/>
          <w:b/>
          <w:bCs/>
          <w:color w:val="auto"/>
          <w:sz w:val="32"/>
          <w:szCs w:val="32"/>
          <w:lang w:val="en-US" w:eastAsia="zh-CN"/>
        </w:rPr>
        <w:t>3.</w:t>
      </w:r>
      <w:r>
        <w:rPr>
          <w:rFonts w:hint="eastAsia" w:ascii="仿宋" w:hAnsi="仿宋" w:eastAsia="仿宋" w:cs="仿宋"/>
          <w:b/>
          <w:bCs/>
          <w:color w:val="auto"/>
          <w:sz w:val="32"/>
          <w:szCs w:val="32"/>
          <w:lang w:val="en-US" w:eastAsia="zh-CN"/>
        </w:rPr>
        <w:t>合同</w:t>
      </w:r>
    </w:p>
    <w:p>
      <w:pPr>
        <w:rPr>
          <w:rFonts w:hint="eastAsia"/>
          <w:lang w:val="en-US" w:eastAsia="zh-CN"/>
        </w:rPr>
      </w:pPr>
      <w:r>
        <w:rPr>
          <w:rFonts w:hint="eastAsia"/>
          <w:lang w:val="en-US" w:eastAsia="zh-CN"/>
        </w:rPr>
        <w:t>（13）合同的订立和效力：合同的概念与特征；合同的分类；合同成立的概念和要件，合同的形式，合同的法律拘束力；合同的效力。</w:t>
      </w:r>
    </w:p>
    <w:p>
      <w:pPr>
        <w:rPr>
          <w:rFonts w:hint="default"/>
          <w:lang w:val="en-US" w:eastAsia="zh-CN"/>
        </w:rPr>
      </w:pPr>
      <w:r>
        <w:rPr>
          <w:rFonts w:hint="eastAsia"/>
          <w:lang w:val="en-US" w:eastAsia="zh-CN"/>
        </w:rPr>
        <w:t>（14）合同的履行、保全、变更和转让：合同履行的概念和特征；合同履行的原则及其内涵，合同的履行；合同保全的概念和特征；合同的变更和转让的概念和特征及要件与效力；合同的权利义务终止；同变更的概念和特征，合同变更的要件与效力；债权转让的概念、特征、条件、法律效力，以及禁止转让特约的效力。</w:t>
      </w:r>
    </w:p>
    <w:p>
      <w:pPr>
        <w:pStyle w:val="5"/>
        <w:outlineLvl w:val="2"/>
        <w:rPr>
          <w:rFonts w:hint="eastAsia"/>
          <w:lang w:val="en-US" w:eastAsia="zh-CN"/>
        </w:rPr>
      </w:pPr>
      <w:r>
        <w:rPr>
          <w:rFonts w:hint="eastAsia"/>
          <w:lang w:val="en-US" w:eastAsia="zh-CN"/>
        </w:rPr>
        <w:t>4.人格权</w:t>
      </w:r>
    </w:p>
    <w:p>
      <w:pPr>
        <w:rPr>
          <w:rFonts w:hint="default"/>
          <w:lang w:val="en-US" w:eastAsia="zh-CN"/>
        </w:rPr>
      </w:pPr>
      <w:r>
        <w:rPr>
          <w:rFonts w:hint="eastAsia"/>
          <w:lang w:val="en-US" w:eastAsia="zh-CN"/>
        </w:rPr>
        <w:t>（15）人格权：人格权概念、特征和分类；肖像权、隐私权、名誉权、荣誉权的内容和保护方法。</w:t>
      </w:r>
    </w:p>
    <w:p>
      <w:pPr>
        <w:pStyle w:val="5"/>
        <w:outlineLvl w:val="2"/>
        <w:rPr>
          <w:rFonts w:hint="default"/>
          <w:lang w:val="en-US" w:eastAsia="zh-CN"/>
        </w:rPr>
      </w:pPr>
      <w:r>
        <w:rPr>
          <w:rFonts w:hint="eastAsia"/>
          <w:lang w:val="en-US" w:eastAsia="zh-CN"/>
        </w:rPr>
        <w:t>5.婚姻家庭</w:t>
      </w:r>
    </w:p>
    <w:p>
      <w:pPr>
        <w:rPr>
          <w:rFonts w:hint="eastAsia"/>
          <w:lang w:val="en-US" w:eastAsia="zh-CN"/>
        </w:rPr>
      </w:pPr>
      <w:r>
        <w:rPr>
          <w:rFonts w:hint="eastAsia"/>
          <w:lang w:val="en-US" w:eastAsia="zh-CN"/>
        </w:rPr>
        <w:t>（16）结婚制度和离婚制度:我国的结婚制度，婚约制度，请求返还彩礼;结婚的条件，事实婚姻;婚姻无效的事由，婚姻可撤销的事由，确认婚姻无效或撤销婚姻的机关、请求主体、请求时限，婚姻无效和被撤销的法律后果；登记离婚的条件，登记离婚的程序，登记离婚的法律后果;诉讼离婚的适用范围、诉讼外调解、离婚诉讼的提起，诉讼离婚的程序，判决离婚的法定理由，对军人的特殊保护，对女方的特殊保护;离婚效力的概念，离婚的身份效力，离婚的财产效力，离婚后的子女抚养教育，离婚时的权利救济。</w:t>
      </w:r>
    </w:p>
    <w:p>
      <w:pPr>
        <w:rPr>
          <w:rFonts w:hint="default"/>
          <w:lang w:val="en-US" w:eastAsia="zh-CN"/>
        </w:rPr>
      </w:pPr>
      <w:r>
        <w:rPr>
          <w:rFonts w:hint="eastAsia"/>
          <w:lang w:val="en-US" w:eastAsia="zh-CN"/>
        </w:rPr>
        <w:t>（17）家庭关系和收养制度:夫妻人身关系，夫妻财产关系，我国的夫妻财产制;父母子女关系的内容，父母子女关系的确认;祖孙关系，兄弟姐妹关系；收养的分类，收养的原则;收养关系成立的条件，收养关系成立的程序;收养的效力,收养的拟制效力，收养的解销效力，收养行为的无效;解除收养的法定情形，解除收养的法定程序，解除收养的法律后果。</w:t>
      </w:r>
    </w:p>
    <w:p>
      <w:pPr>
        <w:pStyle w:val="5"/>
        <w:outlineLvl w:val="2"/>
        <w:rPr>
          <w:rFonts w:hint="default"/>
          <w:lang w:val="en-US" w:eastAsia="zh-CN"/>
        </w:rPr>
      </w:pPr>
      <w:r>
        <w:rPr>
          <w:rFonts w:hint="eastAsia"/>
          <w:lang w:val="en-US" w:eastAsia="zh-CN"/>
        </w:rPr>
        <w:t>6.侵权责任</w:t>
      </w:r>
    </w:p>
    <w:p>
      <w:pPr>
        <w:rPr>
          <w:rFonts w:hint="eastAsia"/>
          <w:lang w:val="en-US" w:eastAsia="zh-CN"/>
        </w:rPr>
      </w:pPr>
      <w:r>
        <w:rPr>
          <w:rFonts w:hint="eastAsia"/>
          <w:lang w:val="en-US" w:eastAsia="zh-CN"/>
        </w:rPr>
        <w:t>（18）侵权行为和侵权责任：侵权行为的概念；侵权责任的承担方式；过错责任原则和无过错责任原则的含义与适用。</w:t>
      </w:r>
    </w:p>
    <w:p>
      <w:pPr>
        <w:rPr>
          <w:rFonts w:hint="eastAsia"/>
          <w:lang w:val="en-US" w:eastAsia="zh-CN"/>
        </w:rPr>
      </w:pPr>
      <w:r>
        <w:rPr>
          <w:rFonts w:hint="eastAsia"/>
          <w:lang w:val="en-US" w:eastAsia="zh-CN"/>
        </w:rPr>
        <w:t>（19）侵权责任构成和免责事由：一般侵权责任的构成要件；违法行为的认定；损害事实的种类；因果关系的认定标准；过错的形态；侵权责任的免责事由。</w:t>
      </w:r>
    </w:p>
    <w:p>
      <w:pPr>
        <w:rPr>
          <w:rFonts w:hint="default"/>
          <w:lang w:val="en-US" w:eastAsia="zh-CN"/>
        </w:rPr>
      </w:pPr>
      <w:r>
        <w:rPr>
          <w:rFonts w:hint="eastAsia"/>
          <w:lang w:val="en-US" w:eastAsia="zh-CN"/>
        </w:rPr>
        <w:t>（20）数人侵权行为：共同侵权行为的概念、构成要件和责任承担；共同危险行为的特征及责任承担。</w:t>
      </w:r>
    </w:p>
    <w:p>
      <w:pPr>
        <w:rPr>
          <w:rFonts w:hint="eastAsia"/>
          <w:lang w:val="en-US" w:eastAsia="zh-CN"/>
        </w:rPr>
      </w:pPr>
      <w:r>
        <w:rPr>
          <w:rFonts w:hint="eastAsia"/>
          <w:lang w:val="en-US" w:eastAsia="zh-CN"/>
        </w:rPr>
        <w:t>（21）特殊侵权责任类型：监护人责任、用人单位责任、个人劳务责任、网络侵权责任、违反安全保障义务的侵权责任、学生伤害事故责任的归责原则、构成要件、承担主体及损害赔偿；产品责任、环境污染和生态破坏责任、高度危险责任、机动车交通事故责任、医疗损害责任、建筑物和物件损害责任的归责原则、构成要件、责任主体及损害赔偿。</w:t>
      </w:r>
    </w:p>
    <w:p>
      <w:pPr>
        <w:numPr>
          <w:ilvl w:val="0"/>
          <w:numId w:val="0"/>
        </w:numPr>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考试形式与试卷结构</w:t>
      </w:r>
    </w:p>
    <w:p>
      <w:pPr>
        <w:widowControl w:val="0"/>
        <w:numPr>
          <w:ilvl w:val="0"/>
          <w:numId w:val="0"/>
        </w:numPr>
        <w:wordWrap/>
        <w:adjustRightInd/>
        <w:snapToGrid/>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考试形式为闭卷笔试，试卷包括易、中、难三种</w:t>
      </w:r>
      <w:r>
        <w:rPr>
          <w:rFonts w:hint="eastAsia" w:ascii="仿宋" w:hAnsi="仿宋" w:cs="仿宋"/>
          <w:b w:val="0"/>
          <w:bCs w:val="0"/>
          <w:color w:val="auto"/>
          <w:sz w:val="32"/>
          <w:szCs w:val="32"/>
          <w:lang w:val="en-US" w:eastAsia="zh-CN"/>
        </w:rPr>
        <w:t>难</w:t>
      </w:r>
      <w:r>
        <w:rPr>
          <w:rFonts w:hint="eastAsia" w:ascii="仿宋" w:hAnsi="仿宋" w:eastAsia="仿宋" w:cs="仿宋"/>
          <w:b w:val="0"/>
          <w:bCs w:val="0"/>
          <w:color w:val="auto"/>
          <w:sz w:val="32"/>
          <w:szCs w:val="32"/>
          <w:lang w:val="en-US" w:eastAsia="zh-CN"/>
        </w:rPr>
        <w:t xml:space="preserve">度的试题，总体难度适当，以中等难度题为主。较易题约占30%，中等难度题约占50%，较难题约占20%。 </w:t>
      </w:r>
    </w:p>
    <w:p>
      <w:pPr>
        <w:widowControl w:val="0"/>
        <w:numPr>
          <w:ilvl w:val="0"/>
          <w:numId w:val="0"/>
        </w:numPr>
        <w:wordWrap/>
        <w:adjustRightInd/>
        <w:snapToGrid/>
        <w:ind w:firstLine="642" w:firstLineChars="200"/>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r>
        <w:rPr>
          <w:rFonts w:hint="eastAsia" w:ascii="仿宋" w:hAnsi="仿宋" w:cs="仿宋"/>
          <w:b/>
          <w:bCs/>
          <w:sz w:val="32"/>
          <w:szCs w:val="32"/>
          <w:lang w:val="en-US" w:eastAsia="zh-CN"/>
        </w:rPr>
        <w:t>一</w:t>
      </w:r>
      <w:r>
        <w:rPr>
          <w:rFonts w:hint="eastAsia" w:ascii="仿宋" w:hAnsi="仿宋" w:eastAsia="仿宋" w:cs="仿宋"/>
          <w:b/>
          <w:bCs/>
          <w:sz w:val="32"/>
          <w:szCs w:val="32"/>
          <w:lang w:val="en-US" w:eastAsia="zh-CN"/>
        </w:rPr>
        <w:t>）考试内容结构</w:t>
      </w:r>
    </w:p>
    <w:p>
      <w:pPr>
        <w:widowControl w:val="0"/>
        <w:numPr>
          <w:ilvl w:val="0"/>
          <w:numId w:val="0"/>
        </w:numPr>
        <w:wordWrap/>
        <w:adjustRightInd/>
        <w:snapToGrid/>
        <w:ind w:firstLine="640" w:firstLineChars="200"/>
        <w:textAlignment w:val="auto"/>
        <w:outlineLvl w:val="3"/>
        <w:rPr>
          <w:rFonts w:hint="eastAsia" w:ascii="仿宋" w:hAnsi="仿宋" w:eastAsia="仿宋" w:cs="仿宋"/>
          <w:b/>
          <w:bCs/>
          <w:sz w:val="32"/>
          <w:szCs w:val="32"/>
          <w:lang w:val="en-US" w:eastAsia="zh-CN"/>
        </w:rPr>
      </w:pPr>
      <w:r>
        <w:rPr>
          <w:rFonts w:hint="eastAsia" w:ascii="仿宋" w:hAnsi="仿宋" w:eastAsia="仿宋" w:cs="仿宋"/>
          <w:b w:val="0"/>
          <w:bCs w:val="0"/>
          <w:color w:val="auto"/>
          <w:sz w:val="32"/>
          <w:szCs w:val="32"/>
          <w:lang w:val="en-US" w:eastAsia="zh-CN"/>
        </w:rPr>
        <w:t>刑法知识约占50%，民法知识约占50%。具体分布如下：</w:t>
      </w:r>
    </w:p>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表1  </w:t>
      </w:r>
      <w:r>
        <w:rPr>
          <w:rFonts w:hint="eastAsia" w:ascii="仿宋" w:hAnsi="仿宋" w:cs="仿宋"/>
          <w:b/>
          <w:bCs/>
          <w:sz w:val="32"/>
          <w:szCs w:val="32"/>
          <w:lang w:val="en-US" w:eastAsia="zh-CN"/>
        </w:rPr>
        <w:t>《法学综合》</w:t>
      </w:r>
      <w:r>
        <w:rPr>
          <w:rFonts w:hint="eastAsia" w:ascii="仿宋" w:hAnsi="仿宋" w:eastAsia="仿宋" w:cs="仿宋"/>
          <w:b/>
          <w:bCs/>
          <w:sz w:val="32"/>
          <w:szCs w:val="32"/>
          <w:lang w:val="en-US" w:eastAsia="zh-CN"/>
        </w:rPr>
        <w:t>考试内容结构表</w:t>
      </w:r>
    </w:p>
    <w:tbl>
      <w:tblPr>
        <w:tblStyle w:val="12"/>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189"/>
        <w:gridCol w:w="3371"/>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考试科目</w:t>
            </w:r>
          </w:p>
        </w:tc>
        <w:tc>
          <w:tcPr>
            <w:tcW w:w="1189"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占比例</w:t>
            </w: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知识框架</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各知识点占比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restart"/>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color w:val="auto"/>
                <w:sz w:val="32"/>
                <w:szCs w:val="32"/>
                <w:lang w:val="en-US" w:eastAsia="zh-CN"/>
              </w:rPr>
              <w:t>刑法</w:t>
            </w:r>
          </w:p>
        </w:tc>
        <w:tc>
          <w:tcPr>
            <w:tcW w:w="1189" w:type="dxa"/>
            <w:vMerge w:val="restart"/>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50%</w:t>
            </w: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刑法论</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犯罪论</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刑罚论</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侵犯个人法益犯罪</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侵犯社会法益犯罪</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eastAsia"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侵犯国家法益犯罪</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vMerge w:val="restart"/>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民法</w:t>
            </w:r>
          </w:p>
        </w:tc>
        <w:tc>
          <w:tcPr>
            <w:tcW w:w="1189" w:type="dxa"/>
            <w:vMerge w:val="restart"/>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50%</w:t>
            </w: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民法总论</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物权</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合同</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人格权</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婚姻家庭</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1189" w:type="dxa"/>
            <w:vMerge w:val="continue"/>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p>
        </w:tc>
        <w:tc>
          <w:tcPr>
            <w:tcW w:w="3371"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侵权责任</w:t>
            </w:r>
          </w:p>
        </w:tc>
        <w:tc>
          <w:tcPr>
            <w:tcW w:w="2255" w:type="dxa"/>
            <w:vAlign w:val="top"/>
          </w:tcPr>
          <w:p>
            <w:pPr>
              <w:widowControl w:val="0"/>
              <w:numPr>
                <w:ilvl w:val="0"/>
                <w:numId w:val="0"/>
              </w:numPr>
              <w:wordWrap/>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10%</w:t>
            </w:r>
          </w:p>
        </w:tc>
      </w:tr>
    </w:tbl>
    <w:p>
      <w:pPr>
        <w:widowControl w:val="0"/>
        <w:numPr>
          <w:ilvl w:val="0"/>
          <w:numId w:val="0"/>
        </w:numPr>
        <w:wordWrap/>
        <w:adjustRightInd/>
        <w:snapToGrid/>
        <w:ind w:firstLine="642" w:firstLineChars="200"/>
        <w:textAlignment w:val="auto"/>
        <w:outlineLvl w:val="1"/>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r>
        <w:rPr>
          <w:rFonts w:hint="eastAsia" w:ascii="仿宋" w:hAnsi="仿宋" w:cs="仿宋"/>
          <w:b/>
          <w:bCs/>
          <w:sz w:val="32"/>
          <w:szCs w:val="32"/>
          <w:lang w:val="en-US" w:eastAsia="zh-CN"/>
        </w:rPr>
        <w:t>二</w:t>
      </w:r>
      <w:r>
        <w:rPr>
          <w:rFonts w:hint="eastAsia" w:ascii="仿宋" w:hAnsi="仿宋" w:eastAsia="仿宋" w:cs="仿宋"/>
          <w:b/>
          <w:bCs/>
          <w:sz w:val="32"/>
          <w:szCs w:val="32"/>
          <w:lang w:val="en-US" w:eastAsia="zh-CN"/>
        </w:rPr>
        <w:t>）</w:t>
      </w:r>
      <w:r>
        <w:rPr>
          <w:rFonts w:hint="eastAsia" w:ascii="仿宋" w:hAnsi="仿宋" w:cs="仿宋"/>
          <w:b/>
          <w:bCs/>
          <w:sz w:val="32"/>
          <w:szCs w:val="32"/>
          <w:lang w:val="en-US" w:eastAsia="zh-CN"/>
        </w:rPr>
        <w:t>参考</w:t>
      </w:r>
      <w:r>
        <w:rPr>
          <w:rFonts w:hint="eastAsia" w:ascii="仿宋" w:hAnsi="仿宋" w:eastAsia="仿宋" w:cs="仿宋"/>
          <w:b/>
          <w:bCs/>
          <w:sz w:val="32"/>
          <w:szCs w:val="32"/>
          <w:lang w:val="en-US" w:eastAsia="zh-CN"/>
        </w:rPr>
        <w:t>题型</w:t>
      </w:r>
    </w:p>
    <w:p>
      <w:pPr>
        <w:widowControl w:val="0"/>
        <w:numPr>
          <w:ilvl w:val="0"/>
          <w:numId w:val="0"/>
        </w:numPr>
        <w:wordWrap/>
        <w:adjustRightInd/>
        <w:snapToGrid/>
        <w:spacing w:line="560" w:lineRule="exact"/>
        <w:ind w:firstLine="640" w:firstLineChars="200"/>
        <w:textAlignment w:val="auto"/>
        <w:rPr>
          <w:rFonts w:hint="eastAsia" w:ascii="仿宋" w:hAnsi="仿宋" w:eastAsia="仿宋" w:cs="仿宋"/>
          <w:i w:val="0"/>
          <w:iCs w:val="0"/>
          <w:color w:val="000000"/>
          <w:kern w:val="0"/>
          <w:sz w:val="32"/>
          <w:szCs w:val="32"/>
          <w:u w:val="none"/>
          <w:lang w:val="en-US" w:eastAsia="zh-CN"/>
        </w:rPr>
      </w:pPr>
      <w:r>
        <w:rPr>
          <w:rFonts w:hint="eastAsia" w:ascii="仿宋" w:hAnsi="仿宋" w:eastAsia="仿宋" w:cs="仿宋"/>
          <w:sz w:val="32"/>
          <w:szCs w:val="32"/>
          <w:lang w:val="en-US" w:eastAsia="zh-CN"/>
        </w:rPr>
        <w:t>单项选择题</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多项选择题</w:t>
      </w:r>
      <w:r>
        <w:rPr>
          <w:rFonts w:hint="eastAsia" w:ascii="仿宋" w:hAnsi="仿宋" w:cs="仿宋"/>
          <w:sz w:val="32"/>
          <w:szCs w:val="32"/>
          <w:lang w:val="en-US" w:eastAsia="zh-CN"/>
        </w:rPr>
        <w:t>、</w:t>
      </w:r>
      <w:r>
        <w:rPr>
          <w:rFonts w:hint="eastAsia" w:ascii="仿宋" w:hAnsi="仿宋" w:eastAsia="仿宋" w:cs="仿宋"/>
          <w:i w:val="0"/>
          <w:iCs w:val="0"/>
          <w:color w:val="000000"/>
          <w:kern w:val="0"/>
          <w:sz w:val="32"/>
          <w:szCs w:val="32"/>
          <w:u w:val="none"/>
          <w:lang w:val="en-US" w:eastAsia="zh-CN"/>
        </w:rPr>
        <w:t>判断题</w:t>
      </w:r>
      <w:r>
        <w:rPr>
          <w:rFonts w:hint="eastAsia" w:ascii="仿宋" w:hAnsi="仿宋" w:cs="仿宋"/>
          <w:i w:val="0"/>
          <w:iCs w:val="0"/>
          <w:color w:val="000000"/>
          <w:kern w:val="0"/>
          <w:sz w:val="32"/>
          <w:szCs w:val="32"/>
          <w:u w:val="none"/>
          <w:lang w:val="en-US" w:eastAsia="zh-CN"/>
        </w:rPr>
        <w:t>、</w:t>
      </w:r>
      <w:r>
        <w:rPr>
          <w:rFonts w:hint="eastAsia" w:ascii="仿宋" w:hAnsi="仿宋" w:eastAsia="仿宋" w:cs="仿宋"/>
          <w:i w:val="0"/>
          <w:iCs w:val="0"/>
          <w:color w:val="000000"/>
          <w:kern w:val="0"/>
          <w:sz w:val="32"/>
          <w:szCs w:val="32"/>
          <w:u w:val="none"/>
          <w:lang w:val="en-US" w:eastAsia="zh-CN"/>
        </w:rPr>
        <w:t>简答题</w:t>
      </w:r>
      <w:r>
        <w:rPr>
          <w:rFonts w:hint="eastAsia" w:ascii="仿宋" w:hAnsi="仿宋" w:cs="仿宋"/>
          <w:i w:val="0"/>
          <w:iCs w:val="0"/>
          <w:color w:val="000000"/>
          <w:kern w:val="0"/>
          <w:sz w:val="32"/>
          <w:szCs w:val="32"/>
          <w:u w:val="none"/>
          <w:lang w:val="en-US" w:eastAsia="zh-CN"/>
        </w:rPr>
        <w:t>、</w:t>
      </w:r>
      <w:r>
        <w:rPr>
          <w:rFonts w:hint="eastAsia" w:ascii="仿宋" w:hAnsi="仿宋" w:eastAsia="仿宋" w:cs="仿宋"/>
          <w:i w:val="0"/>
          <w:iCs w:val="0"/>
          <w:color w:val="000000"/>
          <w:kern w:val="0"/>
          <w:sz w:val="32"/>
          <w:szCs w:val="32"/>
          <w:u w:val="none"/>
          <w:lang w:val="en-US" w:eastAsia="zh-CN"/>
        </w:rPr>
        <w:t>综合题（论述题和案例分析</w:t>
      </w:r>
      <w:r>
        <w:rPr>
          <w:rFonts w:hint="eastAsia" w:ascii="仿宋" w:hAnsi="仿宋" w:cs="仿宋"/>
          <w:i w:val="0"/>
          <w:iCs w:val="0"/>
          <w:color w:val="000000"/>
          <w:kern w:val="0"/>
          <w:sz w:val="32"/>
          <w:szCs w:val="32"/>
          <w:u w:val="none"/>
          <w:lang w:val="en-US" w:eastAsia="zh-CN"/>
        </w:rPr>
        <w:t>题</w:t>
      </w:r>
      <w:r>
        <w:rPr>
          <w:rFonts w:hint="eastAsia" w:ascii="仿宋" w:hAnsi="仿宋" w:eastAsia="仿宋" w:cs="仿宋"/>
          <w:i w:val="0"/>
          <w:iCs w:val="0"/>
          <w:color w:val="000000"/>
          <w:kern w:val="0"/>
          <w:sz w:val="32"/>
          <w:szCs w:val="32"/>
          <w:u w:val="none"/>
          <w:lang w:val="en-US" w:eastAsia="zh-CN"/>
        </w:rPr>
        <w:t>）</w:t>
      </w:r>
      <w:r>
        <w:rPr>
          <w:rFonts w:hint="eastAsia" w:ascii="仿宋" w:hAnsi="仿宋" w:cs="仿宋"/>
          <w:i w:val="0"/>
          <w:iCs w:val="0"/>
          <w:color w:val="000000"/>
          <w:kern w:val="0"/>
          <w:sz w:val="32"/>
          <w:szCs w:val="32"/>
          <w:u w:val="none"/>
          <w:lang w:val="en-US" w:eastAsia="zh-CN"/>
        </w:rPr>
        <w:t>等题型。</w:t>
      </w:r>
    </w:p>
    <w:p>
      <w:pPr>
        <w:numPr>
          <w:ilvl w:val="0"/>
          <w:numId w:val="0"/>
        </w:numPr>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参考书目</w:t>
      </w:r>
    </w:p>
    <w:p>
      <w:pPr>
        <w:ind w:firstLine="642" w:firstLineChars="200"/>
        <w:rPr>
          <w:rFonts w:hint="eastAsia"/>
          <w:lang w:val="en-US" w:eastAsia="zh-CN"/>
        </w:rPr>
      </w:pPr>
      <w:r>
        <w:rPr>
          <w:rFonts w:hint="eastAsia"/>
          <w:b/>
          <w:bCs/>
          <w:lang w:val="en-US" w:eastAsia="zh-CN"/>
        </w:rPr>
        <w:t>刑法科目：</w:t>
      </w:r>
      <w:r>
        <w:rPr>
          <w:rFonts w:hint="eastAsia"/>
          <w:lang w:val="en-US" w:eastAsia="zh-CN"/>
        </w:rPr>
        <w:t>《刑法》，王作富、黄京平主编，中国人民大学出版社，2021年9月第7版，新编21世纪法学系列教材，中国人民大学“十三五”规划教材。</w:t>
      </w:r>
    </w:p>
    <w:p>
      <w:pPr>
        <w:ind w:firstLine="642" w:firstLineChars="200"/>
        <w:rPr>
          <w:rFonts w:ascii="Times New Roman" w:hAnsi="Times New Roman" w:eastAsia="仿宋" w:cs="Times New Roman"/>
          <w:b/>
          <w:bCs/>
          <w:kern w:val="2"/>
          <w:sz w:val="32"/>
          <w:lang w:val="en-US" w:eastAsia="zh-CN" w:bidi="ar-SA"/>
        </w:rPr>
      </w:pPr>
      <w:r>
        <w:rPr>
          <w:rFonts w:hint="eastAsia"/>
          <w:b/>
          <w:bCs/>
          <w:lang w:val="en-US" w:eastAsia="zh-CN"/>
        </w:rPr>
        <w:t>民法科目：</w:t>
      </w:r>
      <w:r>
        <w:rPr>
          <w:rFonts w:hint="eastAsia"/>
          <w:lang w:val="en-US" w:eastAsia="zh-CN"/>
        </w:rPr>
        <w:t>[1]《民法典》；[2]《民法学》编写组.马克思主义理论研究和建设工程重点教材.民法学（第二版）[M].北京：高等教育出版社，2022.8.</w:t>
      </w:r>
    </w:p>
    <w:sectPr>
      <w:headerReference r:id="rId5" w:type="default"/>
      <w:footerReference r:id="rId6" w:type="default"/>
      <w:pgSz w:w="11906" w:h="16838"/>
      <w:pgMar w:top="1440" w:right="1474"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仿宋"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g1ODkwYjk1N2Q0MTNhYjIwYmZlNzBlNzA4MzIifQ=="/>
  </w:docVars>
  <w:rsids>
    <w:rsidRoot w:val="00000000"/>
    <w:rsid w:val="0EBD2322"/>
    <w:rsid w:val="24AF5342"/>
    <w:rsid w:val="25EB7E37"/>
    <w:rsid w:val="2FB730F5"/>
    <w:rsid w:val="32FFAF15"/>
    <w:rsid w:val="37E05597"/>
    <w:rsid w:val="3B63781F"/>
    <w:rsid w:val="47DC2BCB"/>
    <w:rsid w:val="49E59988"/>
    <w:rsid w:val="4C912C37"/>
    <w:rsid w:val="4FB9AA33"/>
    <w:rsid w:val="569D2978"/>
    <w:rsid w:val="59A492A5"/>
    <w:rsid w:val="5EBBAFB2"/>
    <w:rsid w:val="5F77F3BE"/>
    <w:rsid w:val="5FBBAA52"/>
    <w:rsid w:val="67379920"/>
    <w:rsid w:val="6BE71B23"/>
    <w:rsid w:val="6EF93960"/>
    <w:rsid w:val="711FB65D"/>
    <w:rsid w:val="77A91DC2"/>
    <w:rsid w:val="7AF64312"/>
    <w:rsid w:val="7BFF88A1"/>
    <w:rsid w:val="7C3E1BE4"/>
    <w:rsid w:val="7F5F4A06"/>
    <w:rsid w:val="7F95C453"/>
    <w:rsid w:val="7FF12193"/>
    <w:rsid w:val="8FEEF86A"/>
    <w:rsid w:val="ADE47122"/>
    <w:rsid w:val="AFBFC454"/>
    <w:rsid w:val="B572A094"/>
    <w:rsid w:val="B6F5E9B9"/>
    <w:rsid w:val="BAF7F3E1"/>
    <w:rsid w:val="BDFAE82A"/>
    <w:rsid w:val="BF73B869"/>
    <w:rsid w:val="C777982A"/>
    <w:rsid w:val="CEFFF669"/>
    <w:rsid w:val="CFDFC83F"/>
    <w:rsid w:val="DDFD086A"/>
    <w:rsid w:val="EACEEE65"/>
    <w:rsid w:val="EE5C42A4"/>
    <w:rsid w:val="EFB70ABE"/>
    <w:rsid w:val="F7CD2BE2"/>
    <w:rsid w:val="FBFC0E7B"/>
    <w:rsid w:val="FF8F5841"/>
    <w:rsid w:val="FFDFAE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 w:cs="Times New Roman"/>
      <w:kern w:val="2"/>
      <w:sz w:val="32"/>
      <w:lang w:val="en-US" w:eastAsia="zh-CN" w:bidi="ar-SA"/>
    </w:rPr>
  </w:style>
  <w:style w:type="paragraph" w:styleId="2">
    <w:name w:val="heading 1"/>
    <w:basedOn w:val="3"/>
    <w:next w:val="1"/>
    <w:link w:val="20"/>
    <w:qFormat/>
    <w:uiPriority w:val="0"/>
    <w:pPr>
      <w:keepNext/>
      <w:keepLines/>
      <w:spacing w:before="0" w:beforeAutospacing="0" w:after="0" w:afterAutospacing="0" w:line="240" w:lineRule="auto"/>
      <w:ind w:firstLine="0" w:firstLineChars="0"/>
      <w:outlineLvl w:val="0"/>
    </w:pPr>
    <w:rPr>
      <w:rFonts w:ascii="Arial" w:hAnsi="Arial" w:eastAsia="方正小标宋简体"/>
      <w:b w:val="0"/>
      <w:kern w:val="44"/>
      <w:sz w:val="44"/>
    </w:rPr>
  </w:style>
  <w:style w:type="paragraph" w:styleId="4">
    <w:name w:val="heading 2"/>
    <w:basedOn w:val="1"/>
    <w:next w:val="1"/>
    <w:link w:val="19"/>
    <w:unhideWhenUsed/>
    <w:qFormat/>
    <w:uiPriority w:val="0"/>
    <w:pPr>
      <w:keepNext/>
      <w:keepLines/>
      <w:spacing w:before="0" w:beforeAutospacing="0" w:after="0" w:afterAutospacing="0" w:line="240"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Lines="0" w:beforeAutospacing="0" w:afterLines="0" w:afterAutospacing="0" w:line="579" w:lineRule="exact"/>
      <w:outlineLvl w:val="2"/>
    </w:pPr>
    <w:rPr>
      <w:rFonts w:eastAsia="楷体"/>
      <w:b/>
    </w:rPr>
  </w:style>
  <w:style w:type="paragraph" w:styleId="6">
    <w:name w:val="heading 4"/>
    <w:basedOn w:val="1"/>
    <w:next w:val="1"/>
    <w:link w:val="18"/>
    <w:unhideWhenUsed/>
    <w:qFormat/>
    <w:uiPriority w:val="0"/>
    <w:pPr>
      <w:keepNext/>
      <w:keepLines/>
      <w:spacing w:beforeLines="0" w:beforeAutospacing="0" w:afterLines="0" w:afterAutospacing="0" w:line="579" w:lineRule="exact"/>
      <w:ind w:firstLine="0" w:firstLineChars="0"/>
      <w:jc w:val="center"/>
      <w:outlineLvl w:val="3"/>
    </w:pPr>
    <w:rPr>
      <w:rFonts w:ascii="Arial" w:hAnsi="Arial"/>
      <w:b/>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beforeAutospacing="0" w:after="60" w:afterAutospacing="0"/>
      <w:jc w:val="center"/>
      <w:outlineLvl w:val="0"/>
    </w:pPr>
    <w:rPr>
      <w:rFonts w:ascii="Arial" w:hAnsi="Arial"/>
      <w:b/>
      <w:sz w:val="32"/>
    </w:rPr>
  </w:style>
  <w:style w:type="paragraph" w:styleId="7">
    <w:name w:val="annotation text"/>
    <w:basedOn w:val="1"/>
    <w:qFormat/>
    <w:uiPriority w:val="0"/>
    <w:pPr>
      <w:jc w:val="left"/>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List Paragraph"/>
    <w:basedOn w:val="1"/>
    <w:qFormat/>
    <w:uiPriority w:val="34"/>
    <w:pPr>
      <w:ind w:firstLine="420" w:firstLineChars="200"/>
    </w:pPr>
  </w:style>
  <w:style w:type="paragraph" w:customStyle="1" w:styleId="17">
    <w:name w:val="WPSOffice手动目录 1"/>
    <w:qFormat/>
    <w:uiPriority w:val="0"/>
    <w:pPr>
      <w:ind w:leftChars="0"/>
    </w:pPr>
    <w:rPr>
      <w:rFonts w:ascii="Calibri" w:hAnsi="Calibri" w:eastAsia="宋体" w:cs="黑体"/>
      <w:sz w:val="20"/>
      <w:szCs w:val="20"/>
      <w:lang w:val="en-US" w:eastAsia="zh-CN" w:bidi="ar-SA"/>
    </w:rPr>
  </w:style>
  <w:style w:type="character" w:customStyle="1" w:styleId="18">
    <w:name w:val="标题 4 Char"/>
    <w:link w:val="6"/>
    <w:qFormat/>
    <w:uiPriority w:val="0"/>
    <w:rPr>
      <w:rFonts w:ascii="Arial" w:hAnsi="Arial" w:eastAsia="仿宋"/>
      <w:b/>
    </w:rPr>
  </w:style>
  <w:style w:type="character" w:customStyle="1" w:styleId="19">
    <w:name w:val="标题 2 Char"/>
    <w:link w:val="4"/>
    <w:qFormat/>
    <w:uiPriority w:val="0"/>
    <w:rPr>
      <w:rFonts w:ascii="Arial" w:hAnsi="Arial" w:eastAsia="黑体"/>
      <w:b/>
      <w:sz w:val="32"/>
    </w:rPr>
  </w:style>
  <w:style w:type="character" w:customStyle="1" w:styleId="20">
    <w:name w:val="标题 1 Char"/>
    <w:link w:val="2"/>
    <w:qFormat/>
    <w:uiPriority w:val="0"/>
    <w:rPr>
      <w:rFonts w:ascii="Arial" w:hAnsi="Arial" w:eastAsia="方正小标宋简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2023-12-30T13:03:00Z</dcterms:created>
  <dc:creator>q</dc:creator>
  <cp:lastModifiedBy>huawei</cp:lastModifiedBy>
  <dcterms:modified xsi:type="dcterms:W3CDTF">2024-01-05T15:27:15Z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21CF7AEA45D5412CB0DFC5AD32132B05_13</vt:lpwstr>
  </property>
</Properties>
</file>