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1"/>
        <w:rPr>
          <w:rFonts w:hint="default"/>
          <w:w w:val="95"/>
          <w:lang w:eastAsia="zh-CN"/>
        </w:rPr>
      </w:pPr>
      <w:bookmarkStart w:id="0" w:name="_Toc24197"/>
      <w:bookmarkStart w:id="1" w:name="_Toc3898"/>
      <w:r>
        <w:rPr>
          <w:rFonts w:hint="eastAsia"/>
          <w:w w:val="95"/>
        </w:rPr>
        <w:t>海南省专升本</w:t>
      </w:r>
      <w:r>
        <w:rPr>
          <w:rFonts w:hint="eastAsia"/>
          <w:w w:val="95"/>
          <w:lang w:eastAsia="zh-CN"/>
        </w:rPr>
        <w:t>招生考试</w:t>
      </w:r>
      <w:bookmarkEnd w:id="0"/>
      <w:bookmarkEnd w:id="1"/>
      <w:bookmarkStart w:id="2" w:name="_Toc4701"/>
      <w:bookmarkStart w:id="3" w:name="_Toc27879"/>
      <w:bookmarkStart w:id="4" w:name="_Toc19864"/>
      <w:r>
        <w:rPr>
          <w:rFonts w:hint="eastAsia"/>
          <w:w w:val="95"/>
          <w:lang w:eastAsia="zh-CN"/>
        </w:rPr>
        <w:t>《体育社会学》考试大纲</w:t>
      </w:r>
      <w:bookmarkEnd w:id="2"/>
      <w:bookmarkEnd w:id="3"/>
      <w:bookmarkEnd w:id="4"/>
    </w:p>
    <w:p>
      <w:pPr>
        <w:pStyle w:val="2"/>
        <w:outlineLvl w:val="9"/>
      </w:pP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体育社会学》考试要求学生掌握体育的社会结构、特点及与社会的相互关系，体育社会学的理论、体育社会问题及不同的体育形态当基础理论和基础知识，加深对体育运动以及体育运动与整个社会关系的认识和理解。培养学生运用基础理论知识辨析体育发展中存在的问题的相关内容，共考查十三部分内容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体育社会现象的社会学分析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社会现象的概念和特点；体育社会现象专门化，体育社会现象扩大化和体育社会现象复杂化的概念；体育社会现象的性质；体育社会现象重大变化具体表现和原因。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体育运动的社会分层、流动与控制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社会分层、社会流动与社会控制的概念；社会分层的标准和形式；体育社会流动的概念和方式；体育社会控制的分类和表现；体育社会控制的作用及机构。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社会结构中的体育运动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发展与经济的重要影响和作用；体育运动与国内政治及国外政治的影响；体育对政治的不利影响；人口数量与体育的关系；影响人口质量的因素；个性和身体素质的概念；促进个性形成与发展的因素；体育中发展个性的方法；素质教育的基本性质；身体素质教育被忽视的原因和后果；科学技术对体育的影响作用及挑战；大众传播媒介对体育的正面和负面影响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 社会文化中的体育运动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文化的要素构成；体育文化的概念及现代体育文化的特征；体育文化产生的社会原因和发展动因；中国文化的特性。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 社会进步中的体育运动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济危机对体育运动的影响；体育运动在对抗经济危机中的作用；社会中性运行和社会的良性运行和协调发展的概念；社会转型对体育运动发展的阻碍；小康社会的体育发展目标；体育运动在建成小康社会中的地位和作用；和谐社会对体育运动发展提出的要求；体育运动在构建和谐社会中的地位与作用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 社会制度中的体育运动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集权制、分权制和均权制的概念及特点；体育制度的构成要素、种类和功能；举国体质的特征；中国体育制度改革的动因、特点和趋势。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（七） 社会关系与互动中的体育运动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社会角色的概念、类型及特点；体育运动中的社会角色类型的具体概念；角色冲突的概念和类型；体育运动中的人际关系的类型；社会群体的概念和特征；体育运动中的群际关系；社会互动的概念、构成要素和类型；竞争行为的特点；合作行为的概念及条件；冲突行为和竞争行为的区别；冲突的概念和分类；调适的概念；集合行为的概念及类型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（八）社会生活中的体育运动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生活方式的概念、构成要素及其分类；影响生活方式的因素；现代生活方式的健康隐患；体育运动与生活方式改变的关系以及体育休闲的特点及功能；城市化进程引发的体育社会问题。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（九）竞技体育的社会学分析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技体育、竞争，社会竞争和规则的概念，构成社会竞争的基本要素和必备条件；竞技体育竞争的社会典范作用；体育规则的分类；修改体育竞赛规则的利弊；竞技体育中的公平公正的表现；竞技体育的分类和社会价值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（十）社会体育的社会学分析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社会体育的概念和特点；我国社会体育的发展现状、价值取向，不足及趋势；社会体育参与的意义；影响社会体育参与的基本因素；中国人口健康不安全的特点和表现；实现健康中国战略目标的体育前置。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（十一）体育群体与人群体育的社会学分析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群体的概念，要素和功能；体育群体的概念、特征及类别；我国老龄化过程的特点；妇女体育发展的社会动因和制约因素；制约农民工体育参与的因素；残疾人体育的社会意义；我国残疾人体育的发展对策。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（十二）体育运动中的民族与宗教问题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体育运动与民族的关系；民族主义对体育发展的干扰；宗教对体育的产生和发展的作用；正确处理体育与宗教的关系。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（十三）体育的社会问题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社会问题的概念和性质；体育社会问题出现的必然性；体育社会问题的特点、种类；体育社会问题解决的途径。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考试形式为闭卷笔试，试卷包括易、中、难三种难度题，总体难度适中，以中等难度题为主。</w:t>
      </w:r>
    </w:p>
    <w:p>
      <w:pPr>
        <w:pStyle w:val="5"/>
        <w:numPr>
          <w:ilvl w:val="0"/>
          <w:numId w:val="3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内容结构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《体育社会学》内容各部分占比：体育社会现象的社会学分析约占5%；体育运动的社会分层、流动与控制约占5%； 社会结构中的体育运动约占10%；社会文化中的体育运动约占10%；社会进步中的体育运动约占5%；社会制度中的体育运动约占10%；社会关系与互动中的体育运动约占5%；社会生活中的体育运动约占10%；竞技体育的社会学分析约占10%；社会体育的社会学分析约占10%； 体育群体与人群体育的社会学分析约占5%；体育运动中的民族与宗教问题约占5%；体育的社会问题约占10%。</w:t>
      </w:r>
    </w:p>
    <w:p>
      <w:pPr>
        <w:pStyle w:val="5"/>
        <w:numPr>
          <w:ilvl w:val="0"/>
          <w:numId w:val="3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参考题型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单项选择题、判断题、名词解释、简答题、论述题、材料分析题等题型。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参考书目</w:t>
      </w:r>
    </w:p>
    <w:p>
      <w:pPr>
        <w:ind w:firstLine="640" w:firstLineChars="20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rPr>
          <w:rFonts w:hint="eastAsia"/>
          <w:lang w:val="en-US" w:eastAsia="zh-CN"/>
        </w:rPr>
        <w:t>卢元镇，《体育社会学（</w:t>
      </w:r>
      <w:bookmarkStart w:id="5" w:name="_GoBack"/>
      <w:bookmarkEnd w:id="5"/>
      <w:r>
        <w:rPr>
          <w:rFonts w:hint="eastAsia"/>
          <w:lang w:val="en-US" w:eastAsia="zh-CN"/>
        </w:rPr>
        <w:t>第四版）》，高等教育出版社，2018年8月第4版，“十二五”规划教材。</w:t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9A961"/>
    <w:multiLevelType w:val="singleLevel"/>
    <w:tmpl w:val="9279A9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0581F1"/>
    <w:multiLevelType w:val="singleLevel"/>
    <w:tmpl w:val="E60581F1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2">
    <w:nsid w:val="303A8BFF"/>
    <w:multiLevelType w:val="singleLevel"/>
    <w:tmpl w:val="303A8B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1BDEAF55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6F396544"/>
    <w:rsid w:val="711FB65D"/>
    <w:rsid w:val="77A91DC2"/>
    <w:rsid w:val="7AF64312"/>
    <w:rsid w:val="7BFF88A1"/>
    <w:rsid w:val="7C3E1BE4"/>
    <w:rsid w:val="7F95C453"/>
    <w:rsid w:val="7FF12193"/>
    <w:rsid w:val="8FEEF86A"/>
    <w:rsid w:val="95E79F7C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2024-01-04T20:10:28Z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