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eastAsia"/>
          <w:lang w:eastAsia="zh-CN"/>
        </w:rPr>
      </w:pPr>
      <w:bookmarkStart w:id="0" w:name="_Toc22174"/>
      <w:bookmarkStart w:id="1" w:name="_Toc5599"/>
      <w:r>
        <w:rPr>
          <w:rFonts w:hint="eastAsia"/>
        </w:rPr>
        <w:t>海南省专升本</w:t>
      </w:r>
      <w:r>
        <w:rPr>
          <w:rFonts w:hint="eastAsia"/>
          <w:lang w:eastAsia="zh-CN"/>
        </w:rPr>
        <w:t>招生考试</w:t>
      </w:r>
      <w:bookmarkEnd w:id="0"/>
      <w:bookmarkEnd w:id="1"/>
      <w:bookmarkStart w:id="2" w:name="_Toc6697"/>
      <w:bookmarkStart w:id="3" w:name="_Toc23562"/>
      <w:bookmarkStart w:id="4" w:name="_Toc5593"/>
      <w:r>
        <w:rPr>
          <w:rFonts w:hint="eastAsia"/>
          <w:lang w:eastAsia="zh-CN"/>
        </w:rPr>
        <w:t>《</w:t>
      </w:r>
      <w:bookmarkStart w:id="5" w:name="_GoBack"/>
      <w:r>
        <w:rPr>
          <w:rFonts w:hint="eastAsia"/>
          <w:lang w:eastAsia="zh-CN"/>
        </w:rPr>
        <w:t>财务会计</w:t>
      </w:r>
      <w:bookmarkEnd w:id="5"/>
      <w:r>
        <w:rPr>
          <w:rFonts w:hint="eastAsia"/>
          <w:lang w:eastAsia="zh-CN"/>
        </w:rPr>
        <w:t>》考试大纲</w:t>
      </w:r>
      <w:bookmarkEnd w:id="2"/>
      <w:bookmarkEnd w:id="3"/>
      <w:bookmarkEnd w:id="4"/>
    </w:p>
    <w:p>
      <w:pPr>
        <w:rPr>
          <w:rFonts w:hint="eastAsia"/>
          <w:lang w:eastAsia="zh-CN"/>
        </w:rPr>
      </w:pP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财务会计》考试要求学生掌握总论、货币资金、应收和预付款项、存货、金融资产、长期股权投资、固定资产及投资性房地产、无形资产及其他资产、流动负债、非流动负债、所有者权益、收入、费用和利润、财务报告等内容，共考查十三部分内容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总论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会计的基本职能、会计的基本假设、会计信息质量要求、会计职业道德定义和基本内容、会计要素及其确认与计量、会计科目和借贷记账法、会计凭证和会计账簿、财产清查、会计账务处理程序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货币资金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货币资金的内部控制制度、库存现金的会计处理、银行存款的会计处理、其他货币资金的会计处理。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应收和预付款项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应收票据的会计处理、应收账款的会计处理、预付账款的会计处理、应收股利和应收利息的会计处理、其他应收款的会计处理、应收款项减值的备抵法及其会计处理。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存货的概念与分类、发出存货的计价方法、原材料的实际成本和计划成本核算、周转材料的会计处理、委托加工物资的会计处理、库存商品的会计处理、存货清查的会计处理、存货跌价准备的会计处理。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金融资产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金融资产的概念与分类、交易性金融资产的会计处理、债权投资的会计处理、其他债权投资的会计处理、其他权益工具投资的会计处理。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长期股权投资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长期股权投资的概念、长期股权投资的成本法、长期股权投资的权益法、长期股权投资的减值和处置。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固定资产及投资性房地产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资产的概念及初始计量、取得固定资产的会计处理、固定资产折旧的会计处理、固定资产后续支出的会计处理、固定资产处置和清查的会计处理、固定资产减值的会计处理、投资性房地产的确认和初始计量、投资性房地产计量的成本模式和公允价值模式、投资性房地产相关后续支出的会计处理、投资性房地产处置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无形资产及其他资产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无形资产的概念及分类、无形资产的确认与初始计量、无形资产取得的会计处理、无形资产摊销、处置与减值的会计处理、无形资产出售和报废的会计处理、长期待摊费用的会计处理。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流动负债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短期借款的会计处理、应付票据的会计处理、应付账款的会计处理、预收账款（合同负债）的会计处理、应付利息和应付股利的会计处理、应付职工薪酬的会计处理、应交税费的会计处理、其他应付款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非流动负债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长期借款的会计处理、应付债券的会计处理、租赁负债及长期应付款的会计处理。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所有者权益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实收资本的会计处理、资本公积的会计处理、盈余公积的会计处理、未分配利润结转的会计处理。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收入、费用和利润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售商品收入的会计处理、提供劳务收入的会计处理、让渡资产使用权收入的会计处理、营业成本的会计处理、税金及附加的会计处理、各项期间费用的会计处理、营业外收入和营业外支出的会计处理、所得税费用的会计处理、利润分配的会计处理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财务报告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务报告的内容及编制要求、资产负债表的结构及内容、资产负债表项目的填列方法、利润表的结构及内容、利润表项目的填列方法、现金流量表的概念和作用、现金流量表的结构及内容、所有者权益变动表的结构及内容、所有者权益变动表的填列方法、财务报告信息披露的要求、财务报表附注的主要内容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考试形式与试卷结构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考试形式为闭卷笔试，包括易、中、难等三种难度题，以中等难度为主。</w:t>
      </w:r>
    </w:p>
    <w:p>
      <w:pPr>
        <w:pStyle w:val="5"/>
        <w:numPr>
          <w:ilvl w:val="0"/>
          <w:numId w:val="3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内容结构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按照考试内容划分，各部分占比如下：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总论约占8%，资产约占30%，负债约占12%，所有者权益约占10%，收入费用利润约占20%，财务报告约占10%。</w:t>
      </w:r>
    </w:p>
    <w:p>
      <w:pPr>
        <w:pStyle w:val="5"/>
        <w:numPr>
          <w:ilvl w:val="0"/>
          <w:numId w:val="3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参考题型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单项选择题、多项选择题、判断题、计算分析题、综合题等题型。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参考书目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《财务会计</w:t>
      </w:r>
      <w:r>
        <w:rPr>
          <w:rFonts w:hint="eastAsia"/>
          <w:lang w:val="en-US" w:eastAsia="zh-CN"/>
        </w:rPr>
        <w:t>实务（第四版）》</w:t>
      </w:r>
      <w:r>
        <w:rPr>
          <w:rFonts w:hint="eastAsia"/>
          <w:lang w:eastAsia="zh-CN"/>
        </w:rPr>
        <w:t>高丽萍主编，高等教育出版社，20</w:t>
      </w:r>
      <w:r>
        <w:rPr>
          <w:rFonts w:hint="eastAsia"/>
          <w:lang w:val="en-US" w:eastAsia="zh-CN"/>
        </w:rPr>
        <w:t>21。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2.《初级会计实务》财政部会计资格评价中心编，经济科学出版社，2023。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869AF"/>
    <w:multiLevelType w:val="singleLevel"/>
    <w:tmpl w:val="812869AF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abstractNum w:abstractNumId="1">
    <w:nsid w:val="A8F6BCFA"/>
    <w:multiLevelType w:val="singleLevel"/>
    <w:tmpl w:val="A8F6BC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5F7E979"/>
    <w:multiLevelType w:val="singleLevel"/>
    <w:tmpl w:val="35F7E9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5FFB943E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7FD070E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2024-01-04T18:05:41Z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