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黑体"/>
          <w:b/>
          <w:bCs w:val="0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</w:rPr>
        <w:t>202</w:t>
      </w: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 w:cs="黑体"/>
          <w:b/>
          <w:bCs w:val="0"/>
          <w:sz w:val="32"/>
          <w:szCs w:val="32"/>
        </w:rPr>
        <w:t>年专升本《人力资源管理》考试大纲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一、总纲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大纲适用于：安徽省属普通高校（以及经过批准举办普通高等职业教育的成人高等院校）的应届全日制普通高职（专科）毕业生；安徽省高校毕业的具有普通高职（专科）学历的退役士兵。考试是国家承认的招收专科学生升入本科阶段学习的选拔性考试，旨在考核学生对于本课程是否达到进入本科学习水平的基本要求。考试需在统一规定的时间内，采用闭卷方式进行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本大纲旨在规定课程学习和考试的内容和范围，是实施课程考试的重要依据，也是指导学生高效学习的纲领性文件，有助于考试标准的规范化和具体化。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大纲的制定旨在贯彻国家和安徽省的相关要求，依据有关政策文件，根据“宽口径、厚基础、强能力、高素质”的原则，实现培养人力资源管理中高级应用性人才的目标。考查内容以人力资源管理过程为主线，围绕人力资源管理活动中的人力资源规划、工作分析、人员招聘与录用、人员的培训与开发、绩效管理、薪酬管理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员工</w:t>
      </w:r>
      <w:r>
        <w:rPr>
          <w:rFonts w:hint="eastAsia" w:ascii="仿宋" w:hAnsi="仿宋" w:eastAsia="仿宋" w:cs="仿宋"/>
          <w:sz w:val="28"/>
          <w:szCs w:val="28"/>
        </w:rPr>
        <w:t>关系管理等内容展开，使学生具备坚实的现代企业管理与现代人力资源管理的理论基础，掌握人力资源管理的理论与技术方法，熟练应用人力资源管理工具开展现代人力资源管理活动。考试以人力资源管理相关理论知识为基础，强调课程的综合性和实践应用性，通过对各章节知识要点的扎实掌握和融会贯通实现创新性。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二、学科考查内容纲要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（一）考核目标与要求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本课程考试参考书目：《人力资源管理》（第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版），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董克用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李超平</w:t>
      </w:r>
      <w:r>
        <w:rPr>
          <w:rFonts w:hint="eastAsia" w:ascii="仿宋" w:hAnsi="仿宋" w:eastAsia="仿宋" w:cs="仿宋"/>
          <w:sz w:val="28"/>
          <w:szCs w:val="28"/>
        </w:rPr>
        <w:t>等编著，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中国人民</w:t>
      </w:r>
      <w:r>
        <w:rPr>
          <w:rFonts w:hint="eastAsia" w:ascii="仿宋" w:hAnsi="仿宋" w:eastAsia="仿宋" w:cs="仿宋"/>
          <w:sz w:val="28"/>
          <w:szCs w:val="28"/>
        </w:rPr>
        <w:t>大学出版社，201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《人力资源管理》课程是人力资源管理专业的核心基础课程，在人力资源管理专业课程体系中有着重要的地位和作用。通过对人力资源相关概念、基本理论、业务流程以及案例的教学，培养学生对人力资源相关领域的学习与探究兴趣，解决人力资源领域基本问题与现象的能力，使得学生具备更为扎实和全面的学科素养。具体包括：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1.能力目标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具有较强的语言与文字表达、人际沟通、组织协调及领导的基本能力；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掌握文献检索、资料查询的基本方法，具有一定科学研究和实际工作能力。</w:t>
      </w:r>
    </w:p>
    <w:p>
      <w:pPr>
        <w:spacing w:line="360" w:lineRule="auto"/>
        <w:ind w:left="560"/>
        <w:rPr>
          <w:rFonts w:hint="eastAsia" w:ascii="仿宋" w:hAnsi="仿宋" w:eastAsia="仿宋" w:cs="仿宋"/>
          <w:color w:val="333333"/>
          <w:kern w:val="0"/>
          <w:szCs w:val="21"/>
        </w:rPr>
      </w:pPr>
      <w:r>
        <w:rPr>
          <w:rFonts w:hint="eastAsia" w:ascii="仿宋" w:hAnsi="仿宋" w:eastAsia="仿宋" w:cs="仿宋"/>
          <w:sz w:val="28"/>
          <w:szCs w:val="28"/>
        </w:rPr>
        <w:t>掌握人力资源管理活动中的调研、分析、实施、评估等基本技能；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2.知识目标</w:t>
      </w:r>
    </w:p>
    <w:p>
      <w:pPr>
        <w:spacing w:line="360" w:lineRule="auto"/>
        <w:ind w:left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掌握人力资源管理的概念、基本理论以及一般框架结构；</w:t>
      </w:r>
    </w:p>
    <w:p>
      <w:pPr>
        <w:spacing w:line="360" w:lineRule="auto"/>
        <w:ind w:left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了解人力资源管理的发展历程、应用现状与发展趋势；</w:t>
      </w:r>
    </w:p>
    <w:p>
      <w:pPr>
        <w:spacing w:line="360" w:lineRule="auto"/>
        <w:ind w:left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掌握当前人力资源管理的主要模块知识；</w:t>
      </w:r>
    </w:p>
    <w:p>
      <w:pPr>
        <w:spacing w:line="360" w:lineRule="auto"/>
        <w:ind w:left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掌握人力资源管理的定性、定量分析方法；</w:t>
      </w:r>
    </w:p>
    <w:p>
      <w:pPr>
        <w:spacing w:line="360" w:lineRule="auto"/>
        <w:ind w:left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了解人力资源管理活动中法律法规问题。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3.素质目标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培养学生的团队协作能力、社会责任意识以及诚实经营的品德；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培养学生良好的人际交流与沟通能力；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培养学生分析问题解决问题的能力，及在实践中不断创新的能力；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培养学生吃苦耐劳的敬业精神和职业素养。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（二）考试范围与要求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考试范围主要围绕人力资源管理基本概念和基本理论、人力资源管理六大模块的知识和方法等主要内容展开。具体考查内容如下：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第一章 人力资源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与人力资源管理</w:t>
      </w:r>
      <w:r>
        <w:rPr>
          <w:rFonts w:hint="eastAsia" w:ascii="仿宋" w:hAnsi="仿宋" w:eastAsia="仿宋" w:cs="仿宋"/>
          <w:sz w:val="28"/>
          <w:szCs w:val="28"/>
        </w:rPr>
        <w:t>概述（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一般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第一节 人力资源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概述（一般）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人力资源管理的数量与质量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人力资源管理与相关概念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第二节 人力资源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管理概述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次重点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管理及相关问题（一般）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人力资源管理的基本问题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次重点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人力资源管理的产生与发展（了解）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第三节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战略性人力资源管理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一般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战略性人力资源管理的含义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战略性人力资源管理的基本特征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战略性人力资源管理的主要观点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人力资源管理的理论基础（一般）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560" w:leftChars="0" w:firstLine="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第一节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人性假设理论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次重点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560" w:leftChars="0" w:firstLine="0" w:firstLine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第二节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激励理论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一般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560" w:leftChars="0" w:firstLine="0" w:firstLine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第三节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人力资源管理的环境（一般）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人力资源管理的组织基础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次</w:t>
      </w:r>
      <w:r>
        <w:rPr>
          <w:rFonts w:hint="eastAsia" w:ascii="仿宋" w:hAnsi="仿宋" w:eastAsia="仿宋" w:cs="仿宋"/>
          <w:sz w:val="28"/>
          <w:szCs w:val="28"/>
        </w:rPr>
        <w:t>重点）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第一节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组织文化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一般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第二节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组织结构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一般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第三节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人力资源管理者和人力资源管理部门（次重点）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人力资源管理者和人力资源管理部门的角色（次重点）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人力资源管理部门的组织结构（次重点）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人力资源管理的责任（次重点）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人力资源管理部门的绩效(一般)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工作分析与胜任力素质模型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次</w:t>
      </w:r>
      <w:r>
        <w:rPr>
          <w:rFonts w:hint="eastAsia" w:ascii="仿宋" w:hAnsi="仿宋" w:eastAsia="仿宋" w:cs="仿宋"/>
          <w:sz w:val="28"/>
          <w:szCs w:val="28"/>
        </w:rPr>
        <w:t>重点）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职位分析概述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一般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职位分析的目的与作用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第二节 职位分析的具体实施（一般）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职位分析的时机(了解)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职位分析的原则（一般）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职位分析的步骤（一般）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职位分析的方法（定性的方法）（次重点）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职位分析的方法（定量的方法）（一般）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第三节 职位说明书的编写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次</w:t>
      </w:r>
      <w:r>
        <w:rPr>
          <w:rFonts w:hint="eastAsia" w:ascii="仿宋" w:hAnsi="仿宋" w:eastAsia="仿宋" w:cs="仿宋"/>
          <w:sz w:val="28"/>
          <w:szCs w:val="28"/>
        </w:rPr>
        <w:t>重点）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职位说明书的主要内容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第四节 胜任素质模型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次</w:t>
      </w:r>
      <w:r>
        <w:rPr>
          <w:rFonts w:hint="eastAsia" w:ascii="仿宋" w:hAnsi="仿宋" w:eastAsia="仿宋" w:cs="仿宋"/>
          <w:sz w:val="28"/>
          <w:szCs w:val="28"/>
        </w:rPr>
        <w:t>重点）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胜任素质概述(一般)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胜任素质模型概述（次重点）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胜任素质模型的建立（一般）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第五章 人力资源规划</w:t>
      </w:r>
      <w:r>
        <w:rPr>
          <w:rFonts w:hint="eastAsia" w:ascii="仿宋" w:hAnsi="仿宋" w:eastAsia="仿宋" w:cs="仿宋"/>
          <w:sz w:val="28"/>
          <w:szCs w:val="28"/>
        </w:rPr>
        <w:t>（重点）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第一节 </w:t>
      </w:r>
      <w:r>
        <w:rPr>
          <w:rFonts w:hint="eastAsia" w:ascii="仿宋" w:hAnsi="仿宋" w:eastAsia="仿宋" w:cs="仿宋"/>
          <w:sz w:val="28"/>
          <w:szCs w:val="28"/>
        </w:rPr>
        <w:t>人力资源规划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概述(次重点)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人力资源规划的含义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人力资源规划的内容（重点）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人力资源规划的分类（一般）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人力资源规划的意义和作用（一般）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人力资源规划的程序（了解）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人力资源需求、供给的预测和平衡</w:t>
      </w:r>
      <w:r>
        <w:rPr>
          <w:rFonts w:hint="eastAsia" w:ascii="仿宋" w:hAnsi="仿宋" w:eastAsia="仿宋" w:cs="仿宋"/>
          <w:sz w:val="28"/>
          <w:szCs w:val="28"/>
        </w:rPr>
        <w:t>（重点）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人力资源需求预测</w:t>
      </w:r>
      <w:r>
        <w:rPr>
          <w:rFonts w:hint="eastAsia" w:ascii="仿宋" w:hAnsi="仿宋" w:eastAsia="仿宋" w:cs="仿宋"/>
          <w:sz w:val="28"/>
          <w:szCs w:val="28"/>
        </w:rPr>
        <w:t>（重点）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人力资源供给预测</w:t>
      </w:r>
      <w:r>
        <w:rPr>
          <w:rFonts w:hint="eastAsia" w:ascii="仿宋" w:hAnsi="仿宋" w:eastAsia="仿宋" w:cs="仿宋"/>
          <w:sz w:val="28"/>
          <w:szCs w:val="28"/>
        </w:rPr>
        <w:t>（重点）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人力资源供需的平衡</w:t>
      </w:r>
      <w:r>
        <w:rPr>
          <w:rFonts w:hint="eastAsia" w:ascii="仿宋" w:hAnsi="仿宋" w:eastAsia="仿宋" w:cs="仿宋"/>
          <w:sz w:val="28"/>
          <w:szCs w:val="28"/>
        </w:rPr>
        <w:t>（重点）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第六章 员工招聘</w:t>
      </w:r>
      <w:r>
        <w:rPr>
          <w:rFonts w:hint="eastAsia" w:ascii="仿宋" w:hAnsi="仿宋" w:eastAsia="仿宋" w:cs="仿宋"/>
          <w:sz w:val="28"/>
          <w:szCs w:val="28"/>
        </w:rPr>
        <w:t>（重点）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第一节 员工招聘概述（一般）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招聘的含义与目标（了解）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招聘的工作意义（一般）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影响招聘活动的因素（次重点）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招聘工作的程序（次重点）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招聘的渠道与方法</w:t>
      </w:r>
      <w:r>
        <w:rPr>
          <w:rFonts w:hint="eastAsia" w:ascii="仿宋" w:hAnsi="仿宋" w:eastAsia="仿宋" w:cs="仿宋"/>
          <w:sz w:val="28"/>
          <w:szCs w:val="28"/>
        </w:rPr>
        <w:t>（重点）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内部招募的来源与方法(重点)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外部招募的来源与方法(重点)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内部招募与外部招募的对比(重点)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员工甄选(次重点)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员工甄选的工具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第七章 职业生涯规划与管理（一般）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第一节 职业生涯规划与职业生涯管理概述（一般）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第二节 职业生涯规划与管理的基本理论（次重点）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第三节 职业生涯规划（一般）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第四节 职业生涯管理（一般）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第八章 培训与开发</w:t>
      </w:r>
      <w:r>
        <w:rPr>
          <w:rFonts w:hint="eastAsia" w:ascii="仿宋" w:hAnsi="仿宋" w:eastAsia="仿宋" w:cs="仿宋"/>
          <w:sz w:val="28"/>
          <w:szCs w:val="28"/>
        </w:rPr>
        <w:t>（重点）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第一节 培训与开发概述（次重点）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培训与开发的含义（一般）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培训与开发的意义（一般）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培训与开发的原则(次重点)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培训与开发的分类(次重点)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培训与开发的新趋势（一般）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培训与开发工作的具体实施(重点)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培训需求分析(重点)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培训设计(次重点)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培训评估和反馈(次重点)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培训与开发的主要方法(次重点)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第九章 绩效管理</w:t>
      </w:r>
      <w:r>
        <w:rPr>
          <w:rFonts w:hint="eastAsia" w:ascii="仿宋" w:hAnsi="仿宋" w:eastAsia="仿宋" w:cs="仿宋"/>
          <w:sz w:val="28"/>
          <w:szCs w:val="28"/>
        </w:rPr>
        <w:t>（重点）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第一节 绩效管理概述(次重点)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第二节 绩效计划(重点)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绩效计划的主要内容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绩效计划的工具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第三节 绩效监控(一般)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第四节 绩效考核(次重点)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绩效考核过程模型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绩效考核关键点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绩效考核中的误区(一般)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第五节 绩效反馈(次重点)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第十章 薪酬管理</w:t>
      </w:r>
      <w:r>
        <w:rPr>
          <w:rFonts w:hint="eastAsia" w:ascii="仿宋" w:hAnsi="仿宋" w:eastAsia="仿宋" w:cs="仿宋"/>
          <w:sz w:val="28"/>
          <w:szCs w:val="28"/>
        </w:rPr>
        <w:t>（重点）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第一节 薪酬管理概述(次重点)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薪酬管理的基本决策</w:t>
      </w:r>
      <w:r>
        <w:rPr>
          <w:rFonts w:hint="eastAsia" w:ascii="仿宋" w:hAnsi="仿宋" w:eastAsia="仿宋" w:cs="仿宋"/>
          <w:sz w:val="28"/>
          <w:szCs w:val="28"/>
        </w:rPr>
        <w:t>（重点）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第二节 基本薪酬</w:t>
      </w:r>
      <w:r>
        <w:rPr>
          <w:rFonts w:hint="eastAsia" w:ascii="仿宋" w:hAnsi="仿宋" w:eastAsia="仿宋" w:cs="仿宋"/>
          <w:sz w:val="28"/>
          <w:szCs w:val="28"/>
        </w:rPr>
        <w:t>（重点）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第三节 可变薪酬</w:t>
      </w:r>
      <w:r>
        <w:rPr>
          <w:rFonts w:hint="eastAsia" w:ascii="仿宋" w:hAnsi="仿宋" w:eastAsia="仿宋" w:cs="仿宋"/>
          <w:sz w:val="28"/>
          <w:szCs w:val="28"/>
        </w:rPr>
        <w:t>（重点）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第四节 福利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次</w:t>
      </w:r>
      <w:r>
        <w:rPr>
          <w:rFonts w:hint="eastAsia" w:ascii="仿宋" w:hAnsi="仿宋" w:eastAsia="仿宋" w:cs="仿宋"/>
          <w:sz w:val="28"/>
          <w:szCs w:val="28"/>
        </w:rPr>
        <w:t>重点）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第十一章 员工关系管理(次重点)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第一节 员工关系概述(一般)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第二节 劳动关系(次重点)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劳动合同管理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劳动争议及其处理程序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第三节 劳动保护(一般)</w:t>
      </w:r>
    </w:p>
    <w:p>
      <w:pPr>
        <w:pStyle w:val="4"/>
        <w:widowControl/>
        <w:numPr>
          <w:ilvl w:val="0"/>
          <w:numId w:val="5"/>
        </w:numPr>
        <w:spacing w:beforeLines="50" w:beforeAutospacing="0" w:afterAutospacing="0"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试卷结构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试卷总分为</w:t>
      </w:r>
      <w:r>
        <w:rPr>
          <w:rFonts w:hint="eastAsia" w:ascii="仿宋" w:hAnsi="仿宋" w:eastAsia="仿宋" w:cs="仿宋"/>
          <w:sz w:val="28"/>
          <w:szCs w:val="28"/>
        </w:rPr>
        <w:t>150分）</w:t>
      </w:r>
    </w:p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8"/>
        <w:gridCol w:w="3204"/>
        <w:gridCol w:w="3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3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88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题型</w:t>
            </w:r>
          </w:p>
        </w:tc>
        <w:tc>
          <w:tcPr>
            <w:tcW w:w="188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题量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3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88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单项选择题</w:t>
            </w:r>
          </w:p>
        </w:tc>
        <w:tc>
          <w:tcPr>
            <w:tcW w:w="188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3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88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判断题</w:t>
            </w:r>
          </w:p>
        </w:tc>
        <w:tc>
          <w:tcPr>
            <w:tcW w:w="188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3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88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名词解释题</w:t>
            </w:r>
          </w:p>
        </w:tc>
        <w:tc>
          <w:tcPr>
            <w:tcW w:w="188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3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188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论述题</w:t>
            </w:r>
          </w:p>
        </w:tc>
        <w:tc>
          <w:tcPr>
            <w:tcW w:w="188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3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188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案例题</w:t>
            </w:r>
          </w:p>
        </w:tc>
        <w:tc>
          <w:tcPr>
            <w:tcW w:w="188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</w:tr>
    </w:tbl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EB2CE3"/>
    <w:multiLevelType w:val="singleLevel"/>
    <w:tmpl w:val="A5EB2CE3"/>
    <w:lvl w:ilvl="0" w:tentative="0">
      <w:start w:val="1"/>
      <w:numFmt w:val="chineseCounting"/>
      <w:suff w:val="space"/>
      <w:lvlText w:val="第%1节"/>
      <w:lvlJc w:val="left"/>
      <w:rPr>
        <w:rFonts w:hint="eastAsia"/>
      </w:rPr>
    </w:lvl>
  </w:abstractNum>
  <w:abstractNum w:abstractNumId="1">
    <w:nsid w:val="F7F2B497"/>
    <w:multiLevelType w:val="singleLevel"/>
    <w:tmpl w:val="F7F2B49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B1BBC79"/>
    <w:multiLevelType w:val="singleLevel"/>
    <w:tmpl w:val="FB1BBC79"/>
    <w:lvl w:ilvl="0" w:tentative="0">
      <w:start w:val="2"/>
      <w:numFmt w:val="chineseCounting"/>
      <w:suff w:val="space"/>
      <w:lvlText w:val="第%1节"/>
      <w:lvlJc w:val="left"/>
      <w:rPr>
        <w:rFonts w:hint="eastAsia"/>
      </w:rPr>
    </w:lvl>
  </w:abstractNum>
  <w:abstractNum w:abstractNumId="3">
    <w:nsid w:val="2F540A57"/>
    <w:multiLevelType w:val="singleLevel"/>
    <w:tmpl w:val="2F540A57"/>
    <w:lvl w:ilvl="0" w:tentative="0">
      <w:start w:val="2"/>
      <w:numFmt w:val="chineseCounting"/>
      <w:suff w:val="space"/>
      <w:lvlText w:val="第%1节"/>
      <w:lvlJc w:val="left"/>
      <w:rPr>
        <w:rFonts w:hint="eastAsia"/>
      </w:rPr>
    </w:lvl>
  </w:abstractNum>
  <w:abstractNum w:abstractNumId="4">
    <w:nsid w:val="6BDA1C2E"/>
    <w:multiLevelType w:val="singleLevel"/>
    <w:tmpl w:val="6BDA1C2E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yOTlkZTBmZWY5ODhiMmQ4YThjODEzZGY3MGEzYzEifQ=="/>
    <w:docVar w:name="KSO_WPS_MARK_KEY" w:val="894d6e46-4f86-4589-9991-2d4fdf0e5026"/>
  </w:docVars>
  <w:rsids>
    <w:rsidRoot w:val="006B5C5C"/>
    <w:rsid w:val="000319D4"/>
    <w:rsid w:val="000425A9"/>
    <w:rsid w:val="00065212"/>
    <w:rsid w:val="00081494"/>
    <w:rsid w:val="0009502D"/>
    <w:rsid w:val="000C30F7"/>
    <w:rsid w:val="000F2F17"/>
    <w:rsid w:val="00113362"/>
    <w:rsid w:val="00123151"/>
    <w:rsid w:val="00131646"/>
    <w:rsid w:val="00165889"/>
    <w:rsid w:val="00197CCE"/>
    <w:rsid w:val="001B5471"/>
    <w:rsid w:val="001C422A"/>
    <w:rsid w:val="001F65E7"/>
    <w:rsid w:val="00235865"/>
    <w:rsid w:val="002849EC"/>
    <w:rsid w:val="002A354B"/>
    <w:rsid w:val="002B7E71"/>
    <w:rsid w:val="002D00BA"/>
    <w:rsid w:val="00305A8C"/>
    <w:rsid w:val="00347B9C"/>
    <w:rsid w:val="003D10EA"/>
    <w:rsid w:val="00451056"/>
    <w:rsid w:val="004900F6"/>
    <w:rsid w:val="005017D3"/>
    <w:rsid w:val="00504A9E"/>
    <w:rsid w:val="00512810"/>
    <w:rsid w:val="00514912"/>
    <w:rsid w:val="00532CE4"/>
    <w:rsid w:val="005337F3"/>
    <w:rsid w:val="005571DE"/>
    <w:rsid w:val="00597FC5"/>
    <w:rsid w:val="005A5D48"/>
    <w:rsid w:val="005C4004"/>
    <w:rsid w:val="0060460D"/>
    <w:rsid w:val="006134C9"/>
    <w:rsid w:val="00644E5F"/>
    <w:rsid w:val="00645D41"/>
    <w:rsid w:val="006B5C5C"/>
    <w:rsid w:val="006F5E1F"/>
    <w:rsid w:val="007044D5"/>
    <w:rsid w:val="007175D0"/>
    <w:rsid w:val="007B2654"/>
    <w:rsid w:val="007E16C6"/>
    <w:rsid w:val="007E4B2F"/>
    <w:rsid w:val="008274EE"/>
    <w:rsid w:val="00830CEE"/>
    <w:rsid w:val="0085027B"/>
    <w:rsid w:val="008B4B01"/>
    <w:rsid w:val="008C5CAB"/>
    <w:rsid w:val="008F30A3"/>
    <w:rsid w:val="00901177"/>
    <w:rsid w:val="00937AF9"/>
    <w:rsid w:val="009500BE"/>
    <w:rsid w:val="00986E45"/>
    <w:rsid w:val="009C0E7A"/>
    <w:rsid w:val="009C1F1D"/>
    <w:rsid w:val="009E0908"/>
    <w:rsid w:val="009F6227"/>
    <w:rsid w:val="00A87ACC"/>
    <w:rsid w:val="00AD2E04"/>
    <w:rsid w:val="00B0776A"/>
    <w:rsid w:val="00B127EB"/>
    <w:rsid w:val="00B21532"/>
    <w:rsid w:val="00B26021"/>
    <w:rsid w:val="00B55F63"/>
    <w:rsid w:val="00BA0880"/>
    <w:rsid w:val="00C260F4"/>
    <w:rsid w:val="00CA2401"/>
    <w:rsid w:val="00DE27E1"/>
    <w:rsid w:val="00DF1C46"/>
    <w:rsid w:val="00E2019A"/>
    <w:rsid w:val="00E32A50"/>
    <w:rsid w:val="00E61732"/>
    <w:rsid w:val="00E70AB4"/>
    <w:rsid w:val="00EC55B8"/>
    <w:rsid w:val="00EE4677"/>
    <w:rsid w:val="00F414C2"/>
    <w:rsid w:val="00F61322"/>
    <w:rsid w:val="0FA53565"/>
    <w:rsid w:val="1495375F"/>
    <w:rsid w:val="181C7C0A"/>
    <w:rsid w:val="266D43E5"/>
    <w:rsid w:val="2C2B2AEA"/>
    <w:rsid w:val="2F0F441F"/>
    <w:rsid w:val="46525ADC"/>
    <w:rsid w:val="5CD42539"/>
    <w:rsid w:val="6DB10E88"/>
    <w:rsid w:val="6E955781"/>
    <w:rsid w:val="7F10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4"/>
    </w:rPr>
  </w:style>
  <w:style w:type="table" w:styleId="6">
    <w:name w:val="Table Grid"/>
    <w:basedOn w:val="5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2258</Words>
  <Characters>2271</Characters>
  <Lines>17</Lines>
  <Paragraphs>5</Paragraphs>
  <TotalTime>9</TotalTime>
  <ScaleCrop>false</ScaleCrop>
  <LinksUpToDate>false</LinksUpToDate>
  <CharactersWithSpaces>2306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2020-04-12T06:52:00Z</dcterms:created>
  <dc:creator>张宇婷</dc:creator>
  <cp:lastModifiedBy>千金裘</cp:lastModifiedBy>
  <cp:lastPrinted>2020-04-15T02:04:00Z</cp:lastPrinted>
  <dcterms:modified xsi:type="dcterms:W3CDTF">2024-11-11T01:28:25Z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3409C592F1A84C948DF113FB77BDAB6E_13</vt:lpwstr>
  </property>
</Properties>
</file>